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B" w:rsidRPr="006F5E8E" w:rsidRDefault="00AB7527" w:rsidP="00AB7527">
      <w:pPr>
        <w:jc w:val="center"/>
        <w:rPr>
          <w:rFonts w:ascii="Montserrat" w:hAnsi="Montserrat"/>
          <w:b/>
          <w:color w:val="262727"/>
          <w:sz w:val="24"/>
          <w:szCs w:val="24"/>
          <w:shd w:val="clear" w:color="auto" w:fill="FFFFFF"/>
        </w:rPr>
      </w:pPr>
      <w:r w:rsidRPr="006F5E8E">
        <w:rPr>
          <w:rFonts w:ascii="Montserrat" w:hAnsi="Montserrat"/>
          <w:b/>
          <w:color w:val="262727"/>
          <w:sz w:val="24"/>
          <w:szCs w:val="24"/>
          <w:shd w:val="clear" w:color="auto" w:fill="FFFFFF"/>
        </w:rPr>
        <w:t>La situation du livre et de l’alphabétisation en Afrique subsaharienne</w:t>
      </w:r>
    </w:p>
    <w:p w:rsidR="00AB7527" w:rsidRPr="00AB7527" w:rsidRDefault="00AB7527" w:rsidP="00AB7527">
      <w:pPr>
        <w:jc w:val="center"/>
        <w:rPr>
          <w:rFonts w:ascii="Montserrat" w:hAnsi="Montserrat"/>
          <w:b/>
          <w:color w:val="262727"/>
          <w:sz w:val="21"/>
          <w:szCs w:val="21"/>
          <w:shd w:val="clear" w:color="auto" w:fill="FFFFFF"/>
        </w:rPr>
      </w:pPr>
    </w:p>
    <w:p w:rsidR="00304C65" w:rsidRPr="00AB7527" w:rsidRDefault="00304C65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Le congrès annuel de l’IFLA s’est tenu du 17 au 19 Août 2021. Au regard du contexte de la pandémie mondiale de Covid-19 et pour permettre la participation d’un grand nombre des professionnels du livre, ce congrès a été virtuel.</w:t>
      </w:r>
    </w:p>
    <w:p w:rsidR="005D5DD4" w:rsidRPr="00AB7527" w:rsidRDefault="00304C65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Le congrès a été animé avec plus 150 sessions. La session Afrique subsaharienne a particulièrement retenu notre attention.</w:t>
      </w:r>
    </w:p>
    <w:p w:rsidR="00304C65" w:rsidRPr="00AB7527" w:rsidRDefault="00304C65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Cette session a été marquée par l’interview qu’a accordé la Présidente du Conseil régional de l'IFLA, </w:t>
      </w:r>
      <w:proofErr w:type="spellStart"/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Nthabiseng</w:t>
      </w:r>
      <w:proofErr w:type="spellEnd"/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 </w:t>
      </w:r>
      <w:proofErr w:type="spellStart"/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Kotsokoane</w:t>
      </w:r>
      <w:proofErr w:type="spellEnd"/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 à Lily </w:t>
      </w:r>
      <w:proofErr w:type="spellStart"/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Ny</w:t>
      </w:r>
      <w:r w:rsidR="00A26466"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ariki</w:t>
      </w:r>
      <w:proofErr w:type="spellEnd"/>
      <w:r w:rsidR="00A26466"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 de l'Association pour le Développement de l'E</w:t>
      </w: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ducation en Afrique</w:t>
      </w:r>
      <w:r w:rsidR="00A26466"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 (ADEA).</w:t>
      </w:r>
    </w:p>
    <w:p w:rsidR="00A26466" w:rsidRPr="00AB7527" w:rsidRDefault="00A26466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Cette interview a porté sur les efforts déployés pour construire une culture de la lecture sur le continent. Lily a présenté la situation de la lecture et de l’Alphabétisation</w:t>
      </w:r>
      <w:r w:rsidR="00B4724A"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. Selon elle, les statistiques de la question ne sont pas encourageant et a proposé des pistes de solutions.</w:t>
      </w:r>
    </w:p>
    <w:p w:rsidR="005D5DD4" w:rsidRPr="00AB7527" w:rsidRDefault="00B4724A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Selon Lily, les bibliothèques fournissent beaucoup d’efforts pour redorer le blason du livre sur le continent et les encourage à redoubler d’efforts. La coopération entre les différents acteurs à savoir les Ministères de l’Education, de la Culture et des Finances contrib</w:t>
      </w:r>
      <w:r w:rsidR="008014EA"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 xml:space="preserve">uerait à l’atteinte </w:t>
      </w: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de cet objectif.</w:t>
      </w:r>
    </w:p>
    <w:p w:rsidR="00AB7527" w:rsidRPr="00AB7527" w:rsidRDefault="00AB7527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Aussi, le digital pourrait contribuer à la promotion du livre et de l’alphabétisation sur le continent</w:t>
      </w:r>
    </w:p>
    <w:p w:rsidR="00AB7527" w:rsidRDefault="00AB7527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 w:rsidRPr="00AB7527">
        <w:rPr>
          <w:rFonts w:ascii="Arial" w:hAnsi="Arial" w:cs="Arial"/>
          <w:color w:val="262727"/>
          <w:sz w:val="24"/>
          <w:szCs w:val="24"/>
          <w:shd w:val="clear" w:color="auto" w:fill="FFFFFF"/>
        </w:rPr>
        <w:t>Après la clôture de la session, tous les participants ont été invité à participer à la séance Zoom pour répondre à leurs questions.</w:t>
      </w:r>
    </w:p>
    <w:p w:rsidR="006F5E8E" w:rsidRDefault="006F5E8E">
      <w:pPr>
        <w:rPr>
          <w:rFonts w:ascii="Arial" w:hAnsi="Arial" w:cs="Arial"/>
          <w:noProof/>
          <w:color w:val="262727"/>
          <w:sz w:val="24"/>
          <w:szCs w:val="24"/>
          <w:shd w:val="clear" w:color="auto" w:fill="FFFFFF"/>
          <w:lang w:eastAsia="fr-FR"/>
        </w:rPr>
      </w:pPr>
    </w:p>
    <w:p w:rsidR="00AB7527" w:rsidRPr="00AB7527" w:rsidRDefault="006F5E8E">
      <w:pPr>
        <w:rPr>
          <w:rFonts w:ascii="Arial" w:hAnsi="Arial" w:cs="Arial"/>
          <w:color w:val="262727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62727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5229810" cy="26489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IC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97" cy="26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BF" w:rsidRDefault="00993FBF">
      <w:pPr>
        <w:rPr>
          <w:rFonts w:ascii="Montserrat" w:hAnsi="Montserrat"/>
          <w:color w:val="262727"/>
          <w:sz w:val="21"/>
          <w:szCs w:val="21"/>
          <w:shd w:val="clear" w:color="auto" w:fill="FFFFFF"/>
        </w:rPr>
      </w:pPr>
    </w:p>
    <w:p w:rsidR="00AB7527" w:rsidRDefault="00993FBF">
      <w:pPr>
        <w:rPr>
          <w:rFonts w:ascii="Montserrat" w:hAnsi="Montserrat"/>
          <w:color w:val="262727"/>
          <w:sz w:val="21"/>
          <w:szCs w:val="21"/>
          <w:shd w:val="clear" w:color="auto" w:fill="FFFFFF"/>
        </w:rPr>
      </w:pPr>
      <w:r>
        <w:rPr>
          <w:rFonts w:ascii="Montserrat" w:hAnsi="Montserrat"/>
          <w:color w:val="262727"/>
          <w:sz w:val="21"/>
          <w:szCs w:val="21"/>
          <w:shd w:val="clear" w:color="auto" w:fill="FFFFFF"/>
        </w:rPr>
        <w:t xml:space="preserve">Pierre KONAN, boursier CFIBD de Côte </w:t>
      </w:r>
      <w:proofErr w:type="gramStart"/>
      <w:r>
        <w:rPr>
          <w:rFonts w:ascii="Montserrat" w:hAnsi="Montserrat"/>
          <w:color w:val="262727"/>
          <w:sz w:val="21"/>
          <w:szCs w:val="21"/>
          <w:shd w:val="clear" w:color="auto" w:fill="FFFFFF"/>
        </w:rPr>
        <w:t xml:space="preserve">d’Ivoire </w:t>
      </w:r>
      <w:bookmarkStart w:id="0" w:name="_GoBack"/>
      <w:bookmarkEnd w:id="0"/>
      <w:r>
        <w:rPr>
          <w:rFonts w:ascii="Montserrat" w:hAnsi="Montserrat"/>
          <w:color w:val="262727"/>
          <w:sz w:val="21"/>
          <w:szCs w:val="21"/>
          <w:shd w:val="clear" w:color="auto" w:fill="FFFFFF"/>
        </w:rPr>
        <w:t xml:space="preserve"> pour</w:t>
      </w:r>
      <w:proofErr w:type="gramEnd"/>
      <w:r>
        <w:rPr>
          <w:rFonts w:ascii="Montserrat" w:hAnsi="Montserrat"/>
          <w:color w:val="262727"/>
          <w:sz w:val="21"/>
          <w:szCs w:val="21"/>
          <w:shd w:val="clear" w:color="auto" w:fill="FFFFFF"/>
        </w:rPr>
        <w:t xml:space="preserve"> le congrès virtuel de l’IFLA 2021</w:t>
      </w:r>
    </w:p>
    <w:sectPr w:rsidR="00AB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D4"/>
    <w:rsid w:val="00304C65"/>
    <w:rsid w:val="00586889"/>
    <w:rsid w:val="005D5DD4"/>
    <w:rsid w:val="006245DB"/>
    <w:rsid w:val="006F5E8E"/>
    <w:rsid w:val="008014EA"/>
    <w:rsid w:val="00993FBF"/>
    <w:rsid w:val="00A26466"/>
    <w:rsid w:val="00AB7527"/>
    <w:rsid w:val="00B4724A"/>
    <w:rsid w:val="00D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8F5"/>
  <w15:chartTrackingRefBased/>
  <w15:docId w15:val="{76777BC1-B3FD-4A40-9156-009DB7B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KONAN, Brou Pierre</dc:creator>
  <cp:keywords/>
  <dc:description/>
  <cp:lastModifiedBy>KONAN, Brou Pierre</cp:lastModifiedBy>
  <cp:revision>2</cp:revision>
  <dcterms:created xsi:type="dcterms:W3CDTF">2021-08-22T04:12:00Z</dcterms:created>
  <dcterms:modified xsi:type="dcterms:W3CDTF">2021-08-22T21:17:00Z</dcterms:modified>
</cp:coreProperties>
</file>