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287" w:rsidRDefault="00DD0287" w:rsidP="006C0631">
      <w:pPr>
        <w:pStyle w:val="Title"/>
        <w:jc w:val="center"/>
      </w:pPr>
      <w:r>
        <w:t xml:space="preserve">Rapport CFIBD – Congrès IFLA 2016 à Columbus : </w:t>
      </w:r>
      <w:r w:rsidRPr="006C0631">
        <w:t>« Connections. Collaboration. Community »</w:t>
      </w:r>
    </w:p>
    <w:p w:rsidR="00DD0287" w:rsidRDefault="00DD0287" w:rsidP="006C0631">
      <w:pPr>
        <w:pStyle w:val="Heading1"/>
        <w:jc w:val="center"/>
      </w:pPr>
      <w:r>
        <w:t xml:space="preserve">Ou </w:t>
      </w:r>
    </w:p>
    <w:p w:rsidR="00DD0287" w:rsidRDefault="00DD0287" w:rsidP="006C0631">
      <w:pPr>
        <w:pStyle w:val="Heading1"/>
        <w:jc w:val="center"/>
        <w:rPr>
          <w:sz w:val="40"/>
          <w:szCs w:val="40"/>
        </w:rPr>
      </w:pPr>
      <w:r>
        <w:rPr>
          <w:sz w:val="40"/>
          <w:szCs w:val="40"/>
        </w:rPr>
        <w:t>G</w:t>
      </w:r>
      <w:r w:rsidRPr="00511FDC">
        <w:rPr>
          <w:sz w:val="40"/>
          <w:szCs w:val="40"/>
        </w:rPr>
        <w:t xml:space="preserve">uide </w:t>
      </w:r>
      <w:r>
        <w:rPr>
          <w:sz w:val="40"/>
          <w:szCs w:val="40"/>
        </w:rPr>
        <w:t>pratique pour</w:t>
      </w:r>
      <w:r w:rsidRPr="00511FDC">
        <w:rPr>
          <w:sz w:val="40"/>
          <w:szCs w:val="40"/>
        </w:rPr>
        <w:t xml:space="preserve"> bibliothécaires intéressés par l’IFLA</w:t>
      </w:r>
    </w:p>
    <w:p w:rsidR="00DD0287" w:rsidRPr="00DE23A4" w:rsidRDefault="00DD0287" w:rsidP="00DE23A4"/>
    <w:p w:rsidR="00DD0287" w:rsidRPr="00DE23A4" w:rsidRDefault="00DD0287" w:rsidP="00DE23A4">
      <w:pPr>
        <w:jc w:val="center"/>
      </w:pPr>
      <w:r w:rsidRPr="00DE23A4">
        <w:t>Par Louise Barillot – Médiatrice culturelle, Bibliothèques de Bordeaux</w:t>
      </w:r>
    </w:p>
    <w:p w:rsidR="00DD0287" w:rsidRDefault="00DD0287" w:rsidP="0022275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6.4pt;margin-top:23.35pt;width:171.5pt;height:131.2pt;z-index:251658240">
            <v:imagedata r:id="rId7" o:title=""/>
            <w10:wrap type="topAndBottom"/>
          </v:shape>
        </w:pict>
      </w:r>
    </w:p>
    <w:p w:rsidR="00DD0287" w:rsidRDefault="00DD0287" w:rsidP="00222756"/>
    <w:p w:rsidR="00DD0287" w:rsidRDefault="00DD0287" w:rsidP="00222756">
      <w:r w:rsidRPr="00F25BCD">
        <w:rPr>
          <w:rStyle w:val="Heading2Char"/>
          <w:bCs/>
          <w:szCs w:val="26"/>
        </w:rPr>
        <w:t>Au fait, c’est quoi l’IFLA </w:t>
      </w:r>
      <w:bookmarkStart w:id="0" w:name="_GoBack"/>
      <w:bookmarkEnd w:id="0"/>
      <w:r w:rsidRPr="00F25BCD">
        <w:rPr>
          <w:rStyle w:val="Heading2Char"/>
          <w:bCs/>
          <w:szCs w:val="26"/>
        </w:rPr>
        <w:t>?</w:t>
      </w:r>
      <w:r>
        <w:t xml:space="preserve"> </w:t>
      </w:r>
    </w:p>
    <w:p w:rsidR="00DD0287" w:rsidRDefault="00DD0287" w:rsidP="00511FDC">
      <w:pPr>
        <w:jc w:val="both"/>
      </w:pPr>
      <w:r>
        <w:t>La Fédération Internationale des Associations de bibliothécaires (</w:t>
      </w:r>
      <w:hyperlink r:id="rId8" w:history="1">
        <w:r w:rsidRPr="001B7EA3">
          <w:rPr>
            <w:rStyle w:val="Hyperlink"/>
          </w:rPr>
          <w:t>International Federation of Librarian Association ou IFLA</w:t>
        </w:r>
      </w:hyperlink>
      <w:r>
        <w:t xml:space="preserve">) qui a pour vocation d’incarner la voix  et de représenter les professionnels du monde entier, organise depuis plus de 80 ans un congrès annuel : the World Librarian and Information Congress (WLIC). C’est une occasion pour échanger autour de tous les services et domaines d’activités des bibliothèques, de se tenir informé et de partager différentes pratiques. En grande partie basées sur les conférences qui ont lieu durant le WLIC, l’IFLA édite et diffuse de nombreux </w:t>
      </w:r>
      <w:hyperlink r:id="rId9" w:history="1">
        <w:r w:rsidRPr="00F25BCD">
          <w:rPr>
            <w:rStyle w:val="Hyperlink"/>
          </w:rPr>
          <w:t>textes de références</w:t>
        </w:r>
      </w:hyperlink>
      <w:r>
        <w:t>, des « standards » afin de tendre à une harmonisation des pratiques en bibliothèques. Ce qui permet la mise en place de normes internationales pour aider à la création de services, de bibliothèques, pour appuyer des projets auprès de politiques locales, chercher à améliorer ses pratiques, etc. L’association est divisée en sections, divisions et groupes d’intérêts spéciaux (</w:t>
      </w:r>
      <w:hyperlink r:id="rId10" w:anchor="sections" w:history="1">
        <w:r w:rsidRPr="00F25BCD">
          <w:rPr>
            <w:rStyle w:val="Hyperlink"/>
          </w:rPr>
          <w:t>liste des différentes sections</w:t>
        </w:r>
      </w:hyperlink>
      <w:r>
        <w:t xml:space="preserve">). Une grande partie du travail est effectué au sein de ces groupes, puis coordonné et diffusé par le quartier général de l’IFLA. </w:t>
      </w:r>
    </w:p>
    <w:p w:rsidR="00DD0287" w:rsidRDefault="00DD0287" w:rsidP="00222756">
      <w:pPr>
        <w:pStyle w:val="Heading1"/>
        <w:numPr>
          <w:ilvl w:val="0"/>
          <w:numId w:val="6"/>
        </w:numPr>
      </w:pPr>
      <w:r>
        <w:t>Comment participer au congrès annuel de l’IFLA ?</w:t>
      </w:r>
    </w:p>
    <w:p w:rsidR="00DD0287" w:rsidRPr="001D6DAB" w:rsidRDefault="00DD0287" w:rsidP="001D6DAB">
      <w:r>
        <w:t>L’entrée au congrès représente une somme importante, plus encore si l’on n’est pas membre de l’IFLA.  Mais il existe de nombreuses possibilités pour faciliter la participation de chacun au congrès, membre ou non, voici un exemple.</w:t>
      </w:r>
    </w:p>
    <w:p w:rsidR="00DD0287" w:rsidRDefault="00DD0287" w:rsidP="00222756">
      <w:pPr>
        <w:pStyle w:val="ListParagraph"/>
      </w:pPr>
    </w:p>
    <w:p w:rsidR="00DD0287" w:rsidRDefault="00DD0287" w:rsidP="00A16B18">
      <w:pPr>
        <w:pStyle w:val="ListParagraph"/>
        <w:numPr>
          <w:ilvl w:val="0"/>
          <w:numId w:val="8"/>
        </w:numPr>
        <w:rPr>
          <w:rStyle w:val="Heading2Char"/>
          <w:rFonts w:ascii="Calibri" w:hAnsi="Calibri"/>
          <w:b w:val="0"/>
          <w:color w:val="auto"/>
          <w:sz w:val="22"/>
        </w:rPr>
      </w:pPr>
      <w:r>
        <w:rPr>
          <w:rStyle w:val="Heading2Char"/>
          <w:bCs/>
          <w:szCs w:val="26"/>
        </w:rPr>
        <w:t>Proposer un poster :</w:t>
      </w:r>
    </w:p>
    <w:p w:rsidR="00DD0287" w:rsidRDefault="00DD0287" w:rsidP="00420DE5">
      <w:pPr>
        <w:pStyle w:val="ListParagraph"/>
        <w:ind w:left="0"/>
        <w:rPr>
          <w:rStyle w:val="Heading2Char"/>
          <w:rFonts w:ascii="Calibri" w:hAnsi="Calibri"/>
          <w:b w:val="0"/>
          <w:color w:val="auto"/>
          <w:sz w:val="22"/>
        </w:rPr>
      </w:pPr>
      <w:r>
        <w:rPr>
          <w:rStyle w:val="Heading2Char"/>
          <w:rFonts w:ascii="Calibri" w:hAnsi="Calibri"/>
          <w:b w:val="0"/>
          <w:color w:val="auto"/>
          <w:sz w:val="22"/>
        </w:rPr>
        <w:t xml:space="preserve">La démarche est plutôt simple, tout d’abord se tenir informer de l’ouverture des « calls for poster »  sur le site du congrès. Pour celui de l’année prochaine en Pologne, voici où tout va se passer : </w:t>
      </w:r>
      <w:hyperlink r:id="rId11" w:history="1">
        <w:r w:rsidRPr="00CC1730">
          <w:rPr>
            <w:rStyle w:val="Hyperlink"/>
          </w:rPr>
          <w:t>2017.ifla.org</w:t>
        </w:r>
      </w:hyperlink>
      <w:r>
        <w:rPr>
          <w:rStyle w:val="Heading2Char"/>
          <w:rFonts w:ascii="Calibri" w:hAnsi="Calibri"/>
          <w:b w:val="0"/>
          <w:color w:val="auto"/>
          <w:sz w:val="22"/>
        </w:rPr>
        <w:t xml:space="preserve"> . Généralement les candidatures sont ouvertes jusqu’en février.</w:t>
      </w:r>
    </w:p>
    <w:p w:rsidR="00DD0287" w:rsidRPr="00A16B18" w:rsidRDefault="00DD0287" w:rsidP="00420DE5">
      <w:pPr>
        <w:pStyle w:val="ListParagraph"/>
        <w:ind w:left="0"/>
        <w:rPr>
          <w:rStyle w:val="Heading2Char"/>
          <w:rFonts w:ascii="Calibri" w:hAnsi="Calibri"/>
          <w:b w:val="0"/>
          <w:color w:val="auto"/>
          <w:sz w:val="22"/>
        </w:rPr>
      </w:pPr>
      <w:r>
        <w:rPr>
          <w:rStyle w:val="Heading2Char"/>
          <w:rFonts w:ascii="Calibri" w:hAnsi="Calibri"/>
          <w:b w:val="0"/>
          <w:color w:val="auto"/>
          <w:sz w:val="22"/>
        </w:rPr>
        <w:t xml:space="preserve">Ensuite, il vous faudra proposer un résumé en moins de 300 mots de ce que vous voudrez présenter au travers de cette affiche. Ce résumé devra refléter la manière dont vous comptez illustrer votre projet sous ce format. Quelques critères sont à respecter comme le fait de ne pas présenter un projet à venir, Il doit être au moins en cours. Mais la volonté de l’IFLA étant de s’assurer que soit représentée une grande variété de pays, d’initiatives et de projets en bibliothèque, chacun a ses chances. Pour vous faire une idée, n’hésitez pas à consulter les posters présentés lors des congrès précédents sur les sites respectifs des congrès. </w:t>
      </w:r>
      <w:r w:rsidRPr="00280477">
        <w:rPr>
          <w:rStyle w:val="Heading2Char"/>
          <w:rFonts w:ascii="Calibri" w:hAnsi="Calibri"/>
          <w:b w:val="0"/>
          <w:color w:val="auto"/>
          <w:sz w:val="22"/>
        </w:rPr>
        <w:t>Ici celui de notre service</w:t>
      </w:r>
      <w:r>
        <w:rPr>
          <w:rStyle w:val="Heading2Char"/>
          <w:rFonts w:ascii="Calibri" w:hAnsi="Calibri"/>
          <w:b w:val="0"/>
          <w:color w:val="auto"/>
          <w:sz w:val="22"/>
        </w:rPr>
        <w:t xml:space="preserve"> (Activités Péri-Educatives ; bibliothèques de Bordeaux)</w:t>
      </w:r>
      <w:r w:rsidRPr="00280477">
        <w:rPr>
          <w:rStyle w:val="Heading2Char"/>
          <w:rFonts w:ascii="Calibri" w:hAnsi="Calibri"/>
          <w:b w:val="0"/>
          <w:color w:val="auto"/>
          <w:sz w:val="22"/>
        </w:rPr>
        <w:t xml:space="preserve"> que j’ai </w:t>
      </w:r>
      <w:r>
        <w:rPr>
          <w:rStyle w:val="Heading2Char"/>
          <w:rFonts w:ascii="Calibri" w:hAnsi="Calibri"/>
          <w:b w:val="0"/>
          <w:color w:val="auto"/>
          <w:sz w:val="22"/>
        </w:rPr>
        <w:t>p</w:t>
      </w:r>
      <w:r w:rsidRPr="00280477">
        <w:rPr>
          <w:rStyle w:val="Heading2Char"/>
          <w:rFonts w:ascii="Calibri" w:hAnsi="Calibri"/>
          <w:b w:val="0"/>
          <w:color w:val="auto"/>
          <w:sz w:val="22"/>
        </w:rPr>
        <w:t xml:space="preserve">u présenter à Columbus : </w:t>
      </w:r>
      <w:hyperlink r:id="rId12" w:history="1">
        <w:r w:rsidRPr="00280477">
          <w:rPr>
            <w:rStyle w:val="Hyperlink"/>
          </w:rPr>
          <w:t>The library and seeking to educate trough leisure activites</w:t>
        </w:r>
      </w:hyperlink>
      <w:r>
        <w:t xml:space="preserve"> (La bibliothèque en quête de la pédagogie du loisir : l’exemple des bibliothèques de Bordeaux)</w:t>
      </w:r>
      <w:r w:rsidRPr="00A16B18">
        <w:rPr>
          <w:rStyle w:val="Heading2Char"/>
          <w:rFonts w:ascii="Calibri" w:hAnsi="Calibri"/>
          <w:b w:val="0"/>
          <w:color w:val="auto"/>
          <w:sz w:val="22"/>
        </w:rPr>
        <w:t xml:space="preserve">. </w:t>
      </w:r>
      <w:r>
        <w:rPr>
          <w:rStyle w:val="Heading2Char"/>
          <w:rFonts w:ascii="Calibri" w:hAnsi="Calibri"/>
          <w:b w:val="0"/>
          <w:color w:val="auto"/>
          <w:sz w:val="22"/>
        </w:rPr>
        <w:t>Les résultats pour les affiches  sélectionnées arrivent  entre un et deux mois après la fermeture des candidatures.</w:t>
      </w:r>
    </w:p>
    <w:p w:rsidR="00DD0287" w:rsidRDefault="00DD0287" w:rsidP="002A42F5">
      <w:pPr>
        <w:pStyle w:val="ListParagraph"/>
      </w:pPr>
    </w:p>
    <w:p w:rsidR="00DD0287" w:rsidRDefault="00DD0287" w:rsidP="002A6371">
      <w:pPr>
        <w:pStyle w:val="ListParagraph"/>
        <w:numPr>
          <w:ilvl w:val="0"/>
          <w:numId w:val="8"/>
        </w:numPr>
      </w:pPr>
      <w:r w:rsidRPr="00F25BCD">
        <w:rPr>
          <w:rStyle w:val="Heading2Char"/>
          <w:bCs/>
          <w:szCs w:val="26"/>
        </w:rPr>
        <w:t>Obtention d’une bourse</w:t>
      </w:r>
      <w:r>
        <w:t xml:space="preserve"> :   </w:t>
      </w:r>
    </w:p>
    <w:p w:rsidR="00DD0287" w:rsidRDefault="00DD0287" w:rsidP="00420DE5">
      <w:pPr>
        <w:pStyle w:val="ListParagraph"/>
        <w:ind w:left="0"/>
        <w:jc w:val="both"/>
      </w:pPr>
      <w:r>
        <w:t>Afin d’aider les étudiants, professionnels et structures qui n’ont pas le budget nécessaire pour participer au congrès, l’IFLA ainsi que de nombreuses associations, proposent différentes bourses. Là encore la première chose à faire est de se tenir informé des dates limites de candidatures sur le site du congrès à l’onglet « </w:t>
      </w:r>
      <w:hyperlink r:id="rId13" w:history="1">
        <w:r w:rsidRPr="00A16B18">
          <w:rPr>
            <w:rStyle w:val="Hyperlink"/>
          </w:rPr>
          <w:t>conference participation grants </w:t>
        </w:r>
      </w:hyperlink>
      <w:r>
        <w:t xml:space="preserve">». </w:t>
      </w:r>
    </w:p>
    <w:p w:rsidR="00DD0287" w:rsidRDefault="00DD0287" w:rsidP="002F4011">
      <w:pPr>
        <w:pStyle w:val="ListParagraph"/>
        <w:ind w:left="0"/>
        <w:jc w:val="both"/>
      </w:pPr>
      <w:r>
        <w:t xml:space="preserve">Pour ma part, j’avais eu connaissance du CFIBD lors de mon expérience en tant que volontaire au congrès de Lyon en 2O14 et c’est naturellement que je me suis tournée vers eux cette année. Le </w:t>
      </w:r>
      <w:hyperlink r:id="rId14" w:history="1">
        <w:r w:rsidRPr="0003307E">
          <w:rPr>
            <w:rStyle w:val="Hyperlink"/>
          </w:rPr>
          <w:t>Comité Français International des Bibliothèques et de la Documentation</w:t>
        </w:r>
      </w:hyperlink>
      <w:r>
        <w:t xml:space="preserve"> est une association nationale composée de professionnels bénévoles, qui a pour but de soutenir les institutions ou particuliers qui souhaiteraient s’impliquer dans l’IFLA principalement mais aussi dans d’autres projets et associations internationales. Par ce soutien, c’est toute la représentation de la francophonie à l’étranger qui est  valorisée lors du congrès. Le multilinguisme et la coopération internationale sont des valeurs chères au CFIBD qui coordonne et diffuse la traduction de textes bibliothéconomiques en français. En 2016,  21 bourses francophones (dont 9 sur le territoire français) ont été  accordées selon un dossier dont la part la plus importante est la lettre de motivation et j’en profite pour remercier le jury de m’avoir sélectionnée ainsi que Mélanie Archambaud qui m’a été d’une grande aide pour la constitution du dossier. </w:t>
      </w:r>
      <w:r>
        <w:br w:type="page"/>
      </w:r>
      <w:r>
        <w:tab/>
      </w:r>
      <w:r w:rsidRPr="002F4011">
        <w:rPr>
          <w:rStyle w:val="Heading2Char"/>
        </w:rPr>
        <w:t>3. Conception d’un poster</w:t>
      </w:r>
      <w:r w:rsidRPr="00F25BCD">
        <w:rPr>
          <w:rStyle w:val="Heading2Char"/>
          <w:bCs/>
          <w:szCs w:val="26"/>
        </w:rPr>
        <w:t> :</w:t>
      </w:r>
      <w:r>
        <w:t xml:space="preserve"> </w:t>
      </w:r>
    </w:p>
    <w:p w:rsidR="00DD0287" w:rsidRDefault="00DD0287" w:rsidP="005B7EC1">
      <w:pPr>
        <w:pStyle w:val="ListParagraph"/>
        <w:ind w:left="0"/>
        <w:jc w:val="both"/>
      </w:pPr>
      <w:r>
        <w:t xml:space="preserve">Une fois la proposition de poster acceptée et l’obtention de la bourse validée, le travail de création de l’affiche commence. Pour la conception et la démarche, nous nous sommes appuyées sur Raphaëlle Bats qui produit des posters depuis plusieurs années et donne des cours sur le sujet </w:t>
      </w:r>
      <w:r w:rsidRPr="00C63ECB">
        <w:t>(</w:t>
      </w:r>
      <w:hyperlink r:id="rId15" w:history="1">
        <w:r w:rsidRPr="00C63ECB">
          <w:rPr>
            <w:rStyle w:val="Hyperlink"/>
          </w:rPr>
          <w:t>slide share</w:t>
        </w:r>
      </w:hyperlink>
      <w:r w:rsidRPr="00C63ECB">
        <w:t>)</w:t>
      </w:r>
      <w:r>
        <w:t xml:space="preserve"> Elle s’est montré très disponible quand nous lui avons demandé des précisions</w:t>
      </w:r>
      <w:r w:rsidRPr="00C63ECB">
        <w:t>.</w:t>
      </w:r>
      <w:r>
        <w:t xml:space="preserve"> Pour notre service ce fut vraiment un travail intéressant que de devoir prendre assez de recul pour pouvoir parler à n’importe quel bibliothécaire du monde. Cela nous a permis de voir autrement ce que nous réalisions depuis deux ans. Il nous a fallut faire le tri entre ce que nous pensions important à faire figurer et ce qui parle vraiment de ce que l’on fait. C’est toute une réflexion qui permet une autre vision de ses missions quotidiennes car le poster doit être autonome, avoir un déroulé et une cohérence entre le graphisme et son contenu. </w:t>
      </w:r>
    </w:p>
    <w:p w:rsidR="00DD0287" w:rsidRDefault="00DD0287" w:rsidP="00DB1C26">
      <w:pPr>
        <w:pStyle w:val="Heading1"/>
        <w:numPr>
          <w:ilvl w:val="0"/>
          <w:numId w:val="6"/>
        </w:numPr>
      </w:pPr>
      <w:r>
        <w:t xml:space="preserve">Au cœur du congrès : </w:t>
      </w:r>
    </w:p>
    <w:p w:rsidR="00DD0287" w:rsidRPr="00DB1C26" w:rsidRDefault="00DD0287" w:rsidP="00DB1C26">
      <w:r>
        <w:t>Car à un congrès de l’IFLA, on n’est rarement seul et on n’a pas le temps de s’ennuyer !</w:t>
      </w:r>
    </w:p>
    <w:p w:rsidR="00DD0287" w:rsidRDefault="00DD0287" w:rsidP="00D657C8">
      <w:pPr>
        <w:numPr>
          <w:ilvl w:val="0"/>
          <w:numId w:val="22"/>
        </w:numPr>
        <w:rPr>
          <w:rStyle w:val="Heading2Char"/>
          <w:rFonts w:ascii="Calibri" w:hAnsi="Calibri"/>
          <w:b w:val="0"/>
          <w:color w:val="auto"/>
          <w:sz w:val="22"/>
        </w:rPr>
      </w:pPr>
      <w:r w:rsidRPr="00D657C8">
        <w:rPr>
          <w:rStyle w:val="Heading2Char"/>
          <w:bCs/>
          <w:szCs w:val="26"/>
        </w:rPr>
        <w:t xml:space="preserve">Prise de marques et de contact : </w:t>
      </w:r>
    </w:p>
    <w:p w:rsidR="00DD0287" w:rsidRDefault="00DD0287" w:rsidP="00820EE1">
      <w:pPr>
        <w:pStyle w:val="ListParagraph"/>
        <w:ind w:left="0" w:firstLine="360"/>
        <w:jc w:val="both"/>
      </w:pPr>
      <w:r w:rsidRPr="00820EE1">
        <w:rPr>
          <w:rStyle w:val="Heading3Char"/>
          <w:b w:val="0"/>
        </w:rPr>
        <w:t>*</w:t>
      </w:r>
      <w:r>
        <w:rPr>
          <w:rStyle w:val="Heading3Char"/>
        </w:rPr>
        <w:t xml:space="preserve"> </w:t>
      </w:r>
      <w:r w:rsidRPr="0075189D">
        <w:rPr>
          <w:rStyle w:val="Heading3Char"/>
        </w:rPr>
        <w:t>Standing Com</w:t>
      </w:r>
      <w:r>
        <w:rPr>
          <w:rStyle w:val="Heading3Char"/>
        </w:rPr>
        <w:t>m</w:t>
      </w:r>
      <w:r w:rsidRPr="0075189D">
        <w:rPr>
          <w:rStyle w:val="Heading3Char"/>
        </w:rPr>
        <w:t>ittee</w:t>
      </w:r>
      <w:r>
        <w:t xml:space="preserve"> : </w:t>
      </w:r>
    </w:p>
    <w:p w:rsidR="00DD0287" w:rsidRDefault="00DD0287" w:rsidP="00820EE1">
      <w:pPr>
        <w:pStyle w:val="ListParagraph"/>
        <w:ind w:left="0"/>
        <w:jc w:val="both"/>
      </w:pPr>
      <w:r>
        <w:t>Généralement la première journée du congrès est principalement dédiée aux Standing Committee (SC) ou comité permanents, ce sont des réunions professionnelles  entre membres d’une section, d’une division ou d’un SIG. La plupart sont ouverts aux observateurs extérieurs qui souhaitent seulement découvrir un groupe, son domaine d’activité et son fonctionnement ou s’investir dans les travaux de celui-ci.</w:t>
      </w:r>
    </w:p>
    <w:p w:rsidR="00DD0287" w:rsidRPr="00A53358" w:rsidRDefault="00DD0287" w:rsidP="00820EE1">
      <w:pPr>
        <w:pStyle w:val="ListParagraph"/>
        <w:ind w:left="0"/>
        <w:jc w:val="both"/>
      </w:pPr>
      <w:r>
        <w:pict>
          <v:shape id="_x0000_i1025" type="#_x0000_t75" style="width:367.5pt;height:222.75pt">
            <v:imagedata r:id="rId16" o:title=""/>
          </v:shape>
        </w:pict>
      </w:r>
      <w:r>
        <w:t xml:space="preserve"> </w:t>
      </w:r>
    </w:p>
    <w:p w:rsidR="00DD0287" w:rsidRDefault="00DD0287" w:rsidP="00420DE5">
      <w:pPr>
        <w:pStyle w:val="ListParagraph"/>
        <w:ind w:left="0"/>
      </w:pPr>
      <w:r>
        <w:t>Durant le congrès, chaque section peut organiser deux SC afin de réunir les membres permanents et faire avancer les projets en cours tout en les présentant aux observateurs.</w:t>
      </w:r>
    </w:p>
    <w:p w:rsidR="00DD0287" w:rsidRDefault="00DD0287" w:rsidP="00D657C8">
      <w:pPr>
        <w:pStyle w:val="ListParagraph"/>
        <w:ind w:left="0"/>
        <w:jc w:val="both"/>
      </w:pPr>
      <w:r>
        <w:t xml:space="preserve">Pour ma part, j’ai assisté aux SC de la section Services Library for Children and Young Adults (CYA section). Au-delà des informations sur la section et leurs projets, comme la playlist Youtube sur les </w:t>
      </w:r>
      <w:hyperlink r:id="rId17" w:history="1">
        <w:r w:rsidRPr="005841F9">
          <w:rPr>
            <w:rStyle w:val="Hyperlink"/>
          </w:rPr>
          <w:t>Best Prac</w:t>
        </w:r>
        <w:r>
          <w:rPr>
            <w:rStyle w:val="Hyperlink"/>
          </w:rPr>
          <w:t>t</w:t>
        </w:r>
        <w:r w:rsidRPr="005841F9">
          <w:rPr>
            <w:rStyle w:val="Hyperlink"/>
          </w:rPr>
          <w:t>ices</w:t>
        </w:r>
      </w:hyperlink>
      <w:r>
        <w:t xml:space="preserve"> ; j’ai pu rencontrer des bibliothécaires jeunesses et échanger avec eux sur leurs pratiques comme les campagnes de promotions de la lecture envers les ados à </w:t>
      </w:r>
      <w:hyperlink r:id="rId18" w:history="1">
        <w:r w:rsidRPr="009A0D51">
          <w:rPr>
            <w:rStyle w:val="Hyperlink"/>
          </w:rPr>
          <w:t>Singapour</w:t>
        </w:r>
      </w:hyperlink>
      <w:r>
        <w:t xml:space="preserve"> ou la formation de volontaires pour des lectures à voix haute en </w:t>
      </w:r>
      <w:hyperlink r:id="rId19" w:anchor="chapter1" w:history="1">
        <w:r w:rsidRPr="009A0D51">
          <w:rPr>
            <w:rStyle w:val="Hyperlink"/>
          </w:rPr>
          <w:t>Corée du Sud </w:t>
        </w:r>
      </w:hyperlink>
      <w:r>
        <w:t xml:space="preserve">; prendre des contacts de collègues français comme Amandine Jacquet de l’ABF ou Sophie Vasseur et son </w:t>
      </w:r>
      <w:hyperlink r:id="rId20" w:history="1">
        <w:r w:rsidRPr="0064547B">
          <w:rPr>
            <w:rStyle w:val="Hyperlink"/>
          </w:rPr>
          <w:t>projet</w:t>
        </w:r>
        <w:r>
          <w:rPr>
            <w:rStyle w:val="Hyperlink"/>
          </w:rPr>
          <w:t xml:space="preserve"> interculturel</w:t>
        </w:r>
        <w:r w:rsidRPr="0064547B">
          <w:rPr>
            <w:rStyle w:val="Hyperlink"/>
          </w:rPr>
          <w:t xml:space="preserve"> de cartonneras</w:t>
        </w:r>
      </w:hyperlink>
      <w:r>
        <w:t>. La rencontre et la discussion sont facilitées par le format table ronde de ces réunions et le nombre réduits de participants.</w:t>
      </w:r>
      <w:r w:rsidRPr="00016E81">
        <w:t xml:space="preserve"> </w:t>
      </w:r>
    </w:p>
    <w:p w:rsidR="00DD0287" w:rsidRPr="00016E81" w:rsidRDefault="00DD0287" w:rsidP="00D657C8">
      <w:pPr>
        <w:pStyle w:val="ListParagraph"/>
        <w:ind w:left="0"/>
        <w:jc w:val="both"/>
      </w:pPr>
    </w:p>
    <w:p w:rsidR="00DD0287" w:rsidRPr="00E17040" w:rsidRDefault="00DD0287" w:rsidP="00D657C8">
      <w:pPr>
        <w:pStyle w:val="ListParagraph"/>
        <w:ind w:left="1060"/>
        <w:rPr>
          <w:rStyle w:val="Heading2Char"/>
          <w:rFonts w:ascii="Calibri" w:hAnsi="Calibri"/>
          <w:b w:val="0"/>
          <w:color w:val="auto"/>
          <w:sz w:val="22"/>
        </w:rPr>
      </w:pPr>
      <w:r>
        <w:rPr>
          <w:rStyle w:val="Heading3Char"/>
        </w:rPr>
        <w:t xml:space="preserve">* </w:t>
      </w:r>
      <w:r w:rsidRPr="0075189D">
        <w:rPr>
          <w:rStyle w:val="Heading3Char"/>
        </w:rPr>
        <w:t>Caucus</w:t>
      </w:r>
      <w:r>
        <w:rPr>
          <w:rStyle w:val="Heading3Char"/>
        </w:rPr>
        <w:t> :</w:t>
      </w:r>
    </w:p>
    <w:p w:rsidR="00DD0287" w:rsidRDefault="00DD0287" w:rsidP="00420DE5">
      <w:pPr>
        <w:pStyle w:val="ListParagraph"/>
        <w:ind w:left="0"/>
        <w:jc w:val="both"/>
      </w:pPr>
      <w:r>
        <w:t xml:space="preserve"> Les caucus sont des réunions entre personnes partageant une langue ou une région du monde, que ce soit une langue maternelle ou un pays natal.  Cette année le caucus francophone était organisé par le CFIBD, l’association et ses membres se sont donc présentés. Puis on a pu entendre parler de différents projets menés au sein de l’IFLA ou présentés lors du congrès. C’est aussi l’occasion de rencontrer des collègues qui ne sont pas dans les mêmes services, ou n’ayant pas les mêmes spécialisations ce qui est enrichissant et ouvre des horizons.</w:t>
      </w:r>
    </w:p>
    <w:p w:rsidR="00DD0287" w:rsidRDefault="00DD0287" w:rsidP="008D641E">
      <w:pPr>
        <w:pStyle w:val="ListParagraph"/>
        <w:tabs>
          <w:tab w:val="left" w:pos="1088"/>
        </w:tabs>
        <w:ind w:left="0"/>
      </w:pPr>
      <w:r>
        <w:tab/>
      </w:r>
    </w:p>
    <w:p w:rsidR="00DD0287" w:rsidRDefault="00DD0287" w:rsidP="00D657C8">
      <w:pPr>
        <w:pStyle w:val="ListParagraph"/>
        <w:ind w:left="1060"/>
      </w:pPr>
      <w:r>
        <w:rPr>
          <w:rStyle w:val="Heading3Char"/>
        </w:rPr>
        <w:t xml:space="preserve">* </w:t>
      </w:r>
      <w:r w:rsidRPr="0075189D">
        <w:rPr>
          <w:rStyle w:val="Heading3Char"/>
        </w:rPr>
        <w:t>Réunion et dîner Boursiers</w:t>
      </w:r>
      <w:r>
        <w:t> :</w:t>
      </w:r>
    </w:p>
    <w:p w:rsidR="00DD0287" w:rsidRDefault="00DD0287" w:rsidP="00420DE5">
      <w:pPr>
        <w:pStyle w:val="ListParagraph"/>
        <w:ind w:left="0"/>
        <w:jc w:val="both"/>
      </w:pPr>
      <w:r>
        <w:t xml:space="preserve">Suite à tout cela, Le CFIBD organise une réunion d’information destinée aux boursiers. On nous explique plus précisément notre rôle pour l’association en matière de traductions, de valorisation de la francophonie, de l’alimentation des réseaux sociaux, de rapport de congrès. Après la réunion, boursiers et membres du CFIBD sont chaleureusement invités à un dîner informel. C’est un moment sympathique fort appréciable, qui favorise lui aussi les rencontres de manière plus conviviale. </w:t>
      </w:r>
    </w:p>
    <w:p w:rsidR="00DD0287" w:rsidRDefault="00DD0287" w:rsidP="00420DE5">
      <w:pPr>
        <w:pStyle w:val="ListParagraph"/>
        <w:ind w:left="0"/>
        <w:jc w:val="both"/>
      </w:pPr>
    </w:p>
    <w:p w:rsidR="00DD0287" w:rsidRDefault="00DD0287" w:rsidP="00D657C8">
      <w:pPr>
        <w:pStyle w:val="Heading2"/>
        <w:numPr>
          <w:ilvl w:val="0"/>
          <w:numId w:val="22"/>
        </w:numPr>
      </w:pPr>
      <w:r w:rsidRPr="00DB1C26">
        <w:t>Organiser son temps :</w:t>
      </w:r>
    </w:p>
    <w:p w:rsidR="00DD0287" w:rsidRDefault="00DD0287" w:rsidP="00D657C8">
      <w:pPr>
        <w:pStyle w:val="NoSpacing"/>
        <w:ind w:left="360"/>
      </w:pPr>
      <w:r>
        <w:rPr>
          <w:rStyle w:val="Heading3Char"/>
        </w:rPr>
        <w:t xml:space="preserve">* </w:t>
      </w:r>
      <w:r w:rsidRPr="005D35E7">
        <w:rPr>
          <w:rStyle w:val="Heading3Char"/>
        </w:rPr>
        <w:t>Les conférences :</w:t>
      </w:r>
      <w:r>
        <w:t xml:space="preserve"> </w:t>
      </w:r>
    </w:p>
    <w:p w:rsidR="00DD0287" w:rsidRPr="005D35E7" w:rsidRDefault="00DD0287" w:rsidP="00D657C8">
      <w:pPr>
        <w:pStyle w:val="ListParagraph"/>
        <w:ind w:left="0"/>
        <w:jc w:val="both"/>
      </w:pPr>
      <w:r w:rsidRPr="0089544D">
        <w:rPr>
          <w:rStyle w:val="Heading3Char"/>
          <w:rFonts w:ascii="Calibri" w:hAnsi="Calibri"/>
          <w:b w:val="0"/>
          <w:color w:val="auto"/>
        </w:rPr>
        <w:t xml:space="preserve">Pour le reste du congrès, il est préférable d’avoir </w:t>
      </w:r>
      <w:r>
        <w:rPr>
          <w:rStyle w:val="Heading3Char"/>
          <w:rFonts w:ascii="Calibri" w:hAnsi="Calibri"/>
          <w:b w:val="0"/>
          <w:color w:val="auto"/>
        </w:rPr>
        <w:t>pensé</w:t>
      </w:r>
      <w:r w:rsidRPr="005D35E7">
        <w:t xml:space="preserve"> un programme de ce à qu</w:t>
      </w:r>
      <w:r>
        <w:t>o</w:t>
      </w:r>
      <w:r w:rsidRPr="005D35E7">
        <w:t>i vous voule</w:t>
      </w:r>
      <w:r>
        <w:t>z assister le programme du congrès est dense.</w:t>
      </w:r>
    </w:p>
    <w:p w:rsidR="00DD0287" w:rsidRDefault="00DD0287" w:rsidP="00D657C8">
      <w:pPr>
        <w:pStyle w:val="ListParagraph"/>
        <w:ind w:left="0"/>
        <w:jc w:val="both"/>
        <w:rPr>
          <w:rStyle w:val="Heading3Char"/>
          <w:rFonts w:ascii="Calibri" w:hAnsi="Calibri"/>
          <w:b w:val="0"/>
          <w:color w:val="auto"/>
        </w:rPr>
      </w:pPr>
      <w:r w:rsidRPr="005D35E7">
        <w:rPr>
          <w:rStyle w:val="Heading3Char"/>
          <w:rFonts w:ascii="Calibri" w:hAnsi="Calibri"/>
          <w:b w:val="0"/>
          <w:color w:val="auto"/>
        </w:rPr>
        <w:t xml:space="preserve">Avec plus de </w:t>
      </w:r>
      <w:r>
        <w:rPr>
          <w:rStyle w:val="Heading3Char"/>
          <w:rFonts w:ascii="Calibri" w:hAnsi="Calibri"/>
          <w:b w:val="0"/>
          <w:color w:val="auto"/>
        </w:rPr>
        <w:t xml:space="preserve">100 conférences, il est important </w:t>
      </w:r>
      <w:r w:rsidRPr="005D35E7">
        <w:rPr>
          <w:rStyle w:val="Heading3Char"/>
          <w:rFonts w:ascii="Calibri" w:hAnsi="Calibri"/>
          <w:b w:val="0"/>
          <w:color w:val="auto"/>
        </w:rPr>
        <w:t>de s’organiser.</w:t>
      </w:r>
      <w:r>
        <w:rPr>
          <w:rStyle w:val="Heading3Char"/>
          <w:rFonts w:ascii="Calibri" w:hAnsi="Calibri"/>
          <w:b w:val="0"/>
          <w:color w:val="auto"/>
        </w:rPr>
        <w:t xml:space="preserve"> A ce niveau, la présentation d’un poster peut être assez contraignante, car les heures de permanences chevauchent celles des conférences. Petite liste non-exhaustive des conférences auxquelles j’ai pu assister :</w:t>
      </w:r>
    </w:p>
    <w:p w:rsidR="00DD0287" w:rsidRDefault="00DD0287" w:rsidP="00D657C8">
      <w:pPr>
        <w:pStyle w:val="NoSpacing"/>
        <w:numPr>
          <w:ilvl w:val="0"/>
          <w:numId w:val="27"/>
        </w:numPr>
        <w:jc w:val="both"/>
        <w:rPr>
          <w:bCs/>
        </w:rPr>
      </w:pPr>
      <w:r>
        <w:rPr>
          <w:noProof/>
        </w:rPr>
        <w:pict>
          <v:shape id="_x0000_s1027" type="#_x0000_t75" style="position:absolute;left:0;text-align:left;margin-left:27pt;margin-top:39.55pt;width:404.35pt;height:149.85pt;z-index:-251660288" wrapcoords="-40 0 -40 21492 21600 21492 21600 0 -40 0">
            <v:imagedata r:id="rId21" o:title=""/>
            <w10:wrap type="through"/>
          </v:shape>
        </w:pict>
      </w:r>
      <w:r>
        <w:rPr>
          <w:b/>
          <w:bCs/>
        </w:rPr>
        <w:t>Préparation des services de bibliothèque 3.0 pour enfants et jeunes adultes</w:t>
      </w:r>
      <w:r w:rsidRPr="00F658BA">
        <w:rPr>
          <w:b/>
          <w:bCs/>
        </w:rPr>
        <w:t xml:space="preserve">: </w:t>
      </w:r>
      <w:r w:rsidRPr="001667E4">
        <w:rPr>
          <w:bCs/>
        </w:rPr>
        <w:t xml:space="preserve">Cette conférence a eu lieu </w:t>
      </w:r>
      <w:r>
        <w:rPr>
          <w:bCs/>
        </w:rPr>
        <w:t xml:space="preserve">à la bibliothèque principale de Columbus (ci-dessous) qui a été rénové récemment et dont l’espace jeunesse mérite le coup d’œil ! </w:t>
      </w:r>
    </w:p>
    <w:p w:rsidR="00DD0287" w:rsidRDefault="00DD0287" w:rsidP="00395655">
      <w:pPr>
        <w:pStyle w:val="NoSpacing"/>
        <w:ind w:left="426"/>
        <w:jc w:val="both"/>
      </w:pPr>
      <w:r>
        <w:rPr>
          <w:bCs/>
        </w:rPr>
        <w:br w:type="page"/>
        <w:t xml:space="preserve">Des installations et aménagements, ludiques et variés ont été présentés lors de la visite. Avant cela, nous avons vu de beaux et grands projets, comme le </w:t>
      </w:r>
      <w:hyperlink r:id="rId22" w:history="1">
        <w:r w:rsidRPr="003817DA">
          <w:rPr>
            <w:rStyle w:val="Hyperlink"/>
            <w:bCs/>
          </w:rPr>
          <w:t>festival Harry Potter</w:t>
        </w:r>
      </w:hyperlink>
      <w:r>
        <w:rPr>
          <w:bCs/>
        </w:rPr>
        <w:t xml:space="preserve"> à Odense au Danemark, ou l’échange entre une bibliothèque suédoise et une américaine, rendue possible grâce au programme </w:t>
      </w:r>
      <w:hyperlink r:id="rId23" w:history="1">
        <w:r w:rsidRPr="003817DA">
          <w:rPr>
            <w:rStyle w:val="Hyperlink"/>
            <w:bCs/>
          </w:rPr>
          <w:t>Sister libraries</w:t>
        </w:r>
      </w:hyperlink>
      <w:r>
        <w:rPr>
          <w:bCs/>
        </w:rPr>
        <w:t>.</w:t>
      </w:r>
    </w:p>
    <w:p w:rsidR="00DD0287" w:rsidRDefault="00DD0287" w:rsidP="00D657C8">
      <w:pPr>
        <w:pStyle w:val="NoSpacing"/>
        <w:numPr>
          <w:ilvl w:val="0"/>
          <w:numId w:val="27"/>
        </w:numPr>
        <w:jc w:val="both"/>
        <w:rPr>
          <w:rStyle w:val="Heading3Char"/>
          <w:rFonts w:ascii="Calibri" w:hAnsi="Calibri"/>
          <w:b w:val="0"/>
          <w:color w:val="auto"/>
        </w:rPr>
      </w:pPr>
      <w:r>
        <w:rPr>
          <w:rStyle w:val="Heading3Char"/>
          <w:rFonts w:ascii="Calibri" w:hAnsi="Calibri"/>
          <w:color w:val="auto"/>
        </w:rPr>
        <w:t>P</w:t>
      </w:r>
      <w:r w:rsidRPr="008A3C90">
        <w:rPr>
          <w:rStyle w:val="Heading3Char"/>
          <w:rFonts w:ascii="Calibri" w:hAnsi="Calibri"/>
          <w:color w:val="auto"/>
        </w:rPr>
        <w:t>rojets participatifs en bibliothèques</w:t>
      </w:r>
      <w:r>
        <w:rPr>
          <w:rStyle w:val="Heading3Char"/>
          <w:rFonts w:ascii="Calibri" w:hAnsi="Calibri"/>
          <w:color w:val="auto"/>
        </w:rPr>
        <w:t> </w:t>
      </w:r>
      <w:r>
        <w:rPr>
          <w:rStyle w:val="Heading3Char"/>
          <w:rFonts w:ascii="Calibri" w:hAnsi="Calibri"/>
          <w:b w:val="0"/>
          <w:color w:val="auto"/>
        </w:rPr>
        <w:t xml:space="preserve">: dont j’ai surtout retenu la présentation d’une bibliothécaire du Milwaukee, </w:t>
      </w:r>
      <w:r w:rsidRPr="004C45F6">
        <w:rPr>
          <w:bCs/>
        </w:rPr>
        <w:t>Shannon Crawford Barniskis</w:t>
      </w:r>
      <w:r>
        <w:rPr>
          <w:b/>
          <w:bCs/>
        </w:rPr>
        <w:t>,</w:t>
      </w:r>
      <w:r>
        <w:rPr>
          <w:rStyle w:val="Heading3Char"/>
          <w:rFonts w:ascii="Calibri" w:hAnsi="Calibri"/>
          <w:b w:val="0"/>
          <w:color w:val="auto"/>
        </w:rPr>
        <w:t xml:space="preserve"> sur les « </w:t>
      </w:r>
      <w:hyperlink r:id="rId24" w:history="1">
        <w:r w:rsidRPr="004C45F6">
          <w:rPr>
            <w:rStyle w:val="Hyperlink"/>
          </w:rPr>
          <w:t>makers spaces </w:t>
        </w:r>
      </w:hyperlink>
      <w:r>
        <w:rPr>
          <w:rStyle w:val="Heading3Char"/>
          <w:rFonts w:ascii="Calibri" w:hAnsi="Calibri"/>
          <w:b w:val="0"/>
          <w:color w:val="auto"/>
        </w:rPr>
        <w:t xml:space="preserve">». Cela donnait de très bonnes pistes pour tendre vers ce genre d’espaces de créations libres même sans architecture particulière, en partant notamment de la question comment montrer aux usagers ce qu’ils peuvent faire ou non sans abuser de signalétique restrictive surtout. </w:t>
      </w:r>
    </w:p>
    <w:p w:rsidR="00DD0287" w:rsidRDefault="00DD0287" w:rsidP="00D657C8">
      <w:pPr>
        <w:pStyle w:val="NoSpacing"/>
        <w:numPr>
          <w:ilvl w:val="0"/>
          <w:numId w:val="27"/>
        </w:numPr>
        <w:jc w:val="both"/>
        <w:rPr>
          <w:rStyle w:val="Heading3Char"/>
          <w:rFonts w:ascii="Calibri" w:hAnsi="Calibri"/>
          <w:b w:val="0"/>
          <w:color w:val="auto"/>
        </w:rPr>
      </w:pPr>
      <w:r w:rsidRPr="00B637E6">
        <w:rPr>
          <w:rStyle w:val="Heading3Char"/>
          <w:rFonts w:ascii="Calibri" w:hAnsi="Calibri"/>
          <w:color w:val="auto"/>
        </w:rPr>
        <w:t>Révision des recommandations</w:t>
      </w:r>
      <w:r>
        <w:rPr>
          <w:rStyle w:val="Heading3Char"/>
          <w:rFonts w:ascii="Calibri" w:hAnsi="Calibri"/>
          <w:color w:val="auto"/>
        </w:rPr>
        <w:t xml:space="preserve"> pour les services enfants et jeunes adultes en bibliothèques : le défi du 21</w:t>
      </w:r>
      <w:r w:rsidRPr="00B637E6">
        <w:rPr>
          <w:rStyle w:val="Heading3Char"/>
          <w:rFonts w:ascii="Calibri" w:hAnsi="Calibri"/>
          <w:color w:val="auto"/>
          <w:vertAlign w:val="superscript"/>
        </w:rPr>
        <w:t>ème</w:t>
      </w:r>
      <w:r>
        <w:rPr>
          <w:rStyle w:val="Heading3Char"/>
          <w:rFonts w:ascii="Calibri" w:hAnsi="Calibri"/>
          <w:color w:val="auto"/>
        </w:rPr>
        <w:t xml:space="preserve"> siècle !</w:t>
      </w:r>
      <w:r w:rsidRPr="00B637E6">
        <w:rPr>
          <w:rStyle w:val="Heading3Char"/>
          <w:rFonts w:ascii="Calibri" w:hAnsi="Calibri"/>
          <w:color w:val="auto"/>
        </w:rPr>
        <w:t xml:space="preserve"> </w:t>
      </w:r>
      <w:r>
        <w:rPr>
          <w:rStyle w:val="Heading3Char"/>
          <w:rFonts w:ascii="Calibri" w:hAnsi="Calibri"/>
          <w:color w:val="auto"/>
        </w:rPr>
        <w:t xml:space="preserve"> </w:t>
      </w:r>
      <w:r w:rsidRPr="00B637E6">
        <w:rPr>
          <w:rStyle w:val="Heading3Char"/>
          <w:rFonts w:ascii="Calibri" w:hAnsi="Calibri"/>
          <w:color w:val="auto"/>
        </w:rPr>
        <w:t>:</w:t>
      </w:r>
      <w:r>
        <w:rPr>
          <w:rStyle w:val="Heading3Char"/>
          <w:rFonts w:ascii="Calibri" w:hAnsi="Calibri"/>
          <w:color w:val="auto"/>
        </w:rPr>
        <w:t xml:space="preserve"> </w:t>
      </w:r>
      <w:r w:rsidRPr="008A6E96">
        <w:rPr>
          <w:rStyle w:val="Heading3Char"/>
          <w:rFonts w:ascii="Calibri" w:hAnsi="Calibri"/>
          <w:b w:val="0"/>
          <w:color w:val="auto"/>
        </w:rPr>
        <w:t>Ces brochures, destinées à aider les bibliothécaires dans leurs pratiques quotidiennes</w:t>
      </w:r>
      <w:r>
        <w:rPr>
          <w:rStyle w:val="Heading3Char"/>
          <w:rFonts w:ascii="Calibri" w:hAnsi="Calibri"/>
          <w:b w:val="0"/>
          <w:color w:val="auto"/>
        </w:rPr>
        <w:t>,</w:t>
      </w:r>
      <w:r w:rsidRPr="008A6E96">
        <w:rPr>
          <w:rStyle w:val="Heading3Char"/>
          <w:rFonts w:ascii="Calibri" w:hAnsi="Calibri"/>
          <w:b w:val="0"/>
          <w:color w:val="auto"/>
        </w:rPr>
        <w:t xml:space="preserve"> forment une part importante des travaux du groupe.</w:t>
      </w:r>
      <w:r>
        <w:rPr>
          <w:rStyle w:val="Heading3Char"/>
          <w:rFonts w:ascii="Calibri" w:hAnsi="Calibri"/>
          <w:color w:val="auto"/>
        </w:rPr>
        <w:t xml:space="preserve"> </w:t>
      </w:r>
      <w:r w:rsidRPr="00F97A51">
        <w:rPr>
          <w:rStyle w:val="Heading3Char"/>
          <w:rFonts w:ascii="Calibri" w:hAnsi="Calibri"/>
          <w:b w:val="0"/>
          <w:color w:val="auto"/>
        </w:rPr>
        <w:t xml:space="preserve">Un des projets est en cours est donc la révision d’un guide dont </w:t>
      </w:r>
      <w:hyperlink r:id="rId25" w:history="1">
        <w:r w:rsidRPr="00F97A51">
          <w:rPr>
            <w:rStyle w:val="Hyperlink"/>
          </w:rPr>
          <w:t>la dernière mise à jour date de 2003</w:t>
        </w:r>
      </w:hyperlink>
      <w:r>
        <w:rPr>
          <w:rStyle w:val="Heading3Char"/>
          <w:rFonts w:ascii="Calibri" w:hAnsi="Calibri"/>
          <w:b w:val="0"/>
          <w:color w:val="auto"/>
        </w:rPr>
        <w:t>. Cette conférence était donc une présentation de l’avancée de cette révision, et un débat vivant autour des contenus et de leur organisation. Le partage des différents travaux, s’opère très naturellement entre les participants, et chacun est amener à reposer des idées, des ajouts ou améliorations. Cela rend le tout convivial et participatif.</w:t>
      </w:r>
    </w:p>
    <w:p w:rsidR="00DD0287" w:rsidRPr="006D47B7" w:rsidRDefault="00DD0287" w:rsidP="00D657C8">
      <w:pPr>
        <w:pStyle w:val="NoSpacing"/>
        <w:numPr>
          <w:ilvl w:val="0"/>
          <w:numId w:val="27"/>
        </w:numPr>
        <w:jc w:val="both"/>
        <w:rPr>
          <w:rStyle w:val="Heading3Char"/>
          <w:rFonts w:ascii="Calibri" w:hAnsi="Calibri"/>
          <w:b w:val="0"/>
          <w:color w:val="auto"/>
        </w:rPr>
      </w:pPr>
      <w:r w:rsidRPr="006D47B7">
        <w:rPr>
          <w:b/>
          <w:bCs/>
        </w:rPr>
        <w:t>Renouveler la bibliothèque publique ? Relooker, vendre et oublier la Dewey, face aux modèles traditionnels :</w:t>
      </w:r>
      <w:r w:rsidRPr="006D47B7">
        <w:rPr>
          <w:rStyle w:val="Heading3Char"/>
          <w:rFonts w:ascii="Calibri" w:hAnsi="Calibri"/>
          <w:b w:val="0"/>
          <w:color w:val="auto"/>
        </w:rPr>
        <w:t xml:space="preserve"> Très complète par la variété de ces interventions, de cette conférence j’ai surtout retenue la première présentation. Venus de Finlande, Taru Liikanen et Teemu  Kide conçoivent des </w:t>
      </w:r>
      <w:hyperlink r:id="rId26" w:history="1">
        <w:r w:rsidRPr="005845B4">
          <w:rPr>
            <w:rStyle w:val="Hyperlink"/>
          </w:rPr>
          <w:t>animations artistiques</w:t>
        </w:r>
      </w:hyperlink>
      <w:r>
        <w:rPr>
          <w:rStyle w:val="Heading3Char"/>
          <w:rFonts w:ascii="Calibri" w:hAnsi="Calibri"/>
          <w:b w:val="0"/>
          <w:color w:val="auto"/>
        </w:rPr>
        <w:t>,</w:t>
      </w:r>
      <w:r w:rsidRPr="006D47B7">
        <w:rPr>
          <w:rStyle w:val="Heading3Char"/>
          <w:rFonts w:ascii="Calibri" w:hAnsi="Calibri"/>
          <w:b w:val="0"/>
          <w:color w:val="auto"/>
        </w:rPr>
        <w:t xml:space="preserve"> </w:t>
      </w:r>
      <w:r>
        <w:rPr>
          <w:rStyle w:val="Heading3Char"/>
          <w:rFonts w:ascii="Calibri" w:hAnsi="Calibri"/>
          <w:b w:val="0"/>
          <w:color w:val="auto"/>
        </w:rPr>
        <w:t>qu’elles complètent</w:t>
      </w:r>
      <w:r w:rsidRPr="006D47B7">
        <w:rPr>
          <w:rStyle w:val="Heading3Char"/>
          <w:rFonts w:ascii="Calibri" w:hAnsi="Calibri"/>
          <w:b w:val="0"/>
          <w:color w:val="auto"/>
        </w:rPr>
        <w:t xml:space="preserve"> l’enseignement scolaire</w:t>
      </w:r>
      <w:r>
        <w:rPr>
          <w:rStyle w:val="Heading3Char"/>
          <w:rFonts w:ascii="Calibri" w:hAnsi="Calibri"/>
          <w:b w:val="0"/>
          <w:color w:val="auto"/>
        </w:rPr>
        <w:t xml:space="preserve"> ou favorisent l’insertion sociale, elles</w:t>
      </w:r>
      <w:r w:rsidRPr="006D47B7">
        <w:rPr>
          <w:rStyle w:val="Heading3Char"/>
          <w:rFonts w:ascii="Calibri" w:hAnsi="Calibri"/>
          <w:b w:val="0"/>
          <w:color w:val="auto"/>
        </w:rPr>
        <w:t xml:space="preserve"> éveill</w:t>
      </w:r>
      <w:r>
        <w:rPr>
          <w:rStyle w:val="Heading3Char"/>
          <w:rFonts w:ascii="Calibri" w:hAnsi="Calibri"/>
          <w:b w:val="0"/>
          <w:color w:val="auto"/>
        </w:rPr>
        <w:t>e</w:t>
      </w:r>
      <w:r w:rsidRPr="006D47B7">
        <w:rPr>
          <w:rStyle w:val="Heading3Char"/>
          <w:rFonts w:ascii="Calibri" w:hAnsi="Calibri"/>
          <w:b w:val="0"/>
          <w:color w:val="auto"/>
        </w:rPr>
        <w:t xml:space="preserve">nt la créativité et la curiosité des enfants. Pour avoir une proposition adaptée, </w:t>
      </w:r>
      <w:r>
        <w:rPr>
          <w:rStyle w:val="Heading3Char"/>
          <w:rFonts w:ascii="Calibri" w:hAnsi="Calibri"/>
          <w:b w:val="0"/>
          <w:color w:val="auto"/>
        </w:rPr>
        <w:t>Taru</w:t>
      </w:r>
      <w:r w:rsidRPr="006D47B7">
        <w:rPr>
          <w:rStyle w:val="Heading3Char"/>
          <w:rFonts w:ascii="Calibri" w:hAnsi="Calibri"/>
          <w:b w:val="0"/>
          <w:color w:val="auto"/>
        </w:rPr>
        <w:t xml:space="preserve"> </w:t>
      </w:r>
      <w:r>
        <w:rPr>
          <w:rStyle w:val="Heading3Char"/>
          <w:rFonts w:ascii="Calibri" w:hAnsi="Calibri"/>
          <w:b w:val="0"/>
          <w:color w:val="auto"/>
        </w:rPr>
        <w:t>a</w:t>
      </w:r>
      <w:r w:rsidRPr="006D47B7">
        <w:rPr>
          <w:rStyle w:val="Heading3Char"/>
          <w:rFonts w:ascii="Calibri" w:hAnsi="Calibri"/>
          <w:b w:val="0"/>
          <w:color w:val="auto"/>
        </w:rPr>
        <w:t xml:space="preserve"> d’</w:t>
      </w:r>
      <w:r>
        <w:rPr>
          <w:rStyle w:val="Heading3Char"/>
          <w:rFonts w:ascii="Calibri" w:hAnsi="Calibri"/>
          <w:b w:val="0"/>
          <w:color w:val="auto"/>
        </w:rPr>
        <w:t>abord pris le temps d’</w:t>
      </w:r>
      <w:r w:rsidRPr="006D47B7">
        <w:rPr>
          <w:rStyle w:val="Heading3Char"/>
          <w:rFonts w:ascii="Calibri" w:hAnsi="Calibri"/>
          <w:b w:val="0"/>
          <w:color w:val="auto"/>
        </w:rPr>
        <w:t xml:space="preserve">observer </w:t>
      </w:r>
      <w:r>
        <w:rPr>
          <w:rStyle w:val="Heading3Char"/>
          <w:rFonts w:ascii="Calibri" w:hAnsi="Calibri"/>
          <w:b w:val="0"/>
          <w:color w:val="auto"/>
        </w:rPr>
        <w:t xml:space="preserve">les jeunes </w:t>
      </w:r>
      <w:r w:rsidRPr="006D47B7">
        <w:rPr>
          <w:rStyle w:val="Heading3Char"/>
          <w:rFonts w:ascii="Calibri" w:hAnsi="Calibri"/>
          <w:b w:val="0"/>
          <w:color w:val="auto"/>
        </w:rPr>
        <w:t xml:space="preserve">interagir librement avec l’espace et les outils </w:t>
      </w:r>
      <w:r>
        <w:rPr>
          <w:rStyle w:val="Heading3Char"/>
          <w:rFonts w:ascii="Calibri" w:hAnsi="Calibri"/>
          <w:b w:val="0"/>
          <w:color w:val="auto"/>
        </w:rPr>
        <w:t xml:space="preserve">de création </w:t>
      </w:r>
      <w:r w:rsidRPr="006D47B7">
        <w:rPr>
          <w:rStyle w:val="Heading3Char"/>
          <w:rFonts w:ascii="Calibri" w:hAnsi="Calibri"/>
          <w:b w:val="0"/>
          <w:color w:val="auto"/>
        </w:rPr>
        <w:t xml:space="preserve">mis à </w:t>
      </w:r>
      <w:r>
        <w:rPr>
          <w:rStyle w:val="Heading3Char"/>
          <w:rFonts w:ascii="Calibri" w:hAnsi="Calibri"/>
          <w:b w:val="0"/>
          <w:color w:val="auto"/>
        </w:rPr>
        <w:t>leur disposition</w:t>
      </w:r>
      <w:r w:rsidRPr="006D47B7">
        <w:rPr>
          <w:rStyle w:val="Heading3Char"/>
          <w:rFonts w:ascii="Calibri" w:hAnsi="Calibri"/>
          <w:b w:val="0"/>
          <w:color w:val="auto"/>
        </w:rPr>
        <w:t>. Teemu</w:t>
      </w:r>
      <w:r>
        <w:rPr>
          <w:rStyle w:val="Heading3Char"/>
          <w:rFonts w:ascii="Calibri" w:hAnsi="Calibri"/>
          <w:b w:val="0"/>
          <w:color w:val="auto"/>
        </w:rPr>
        <w:t>, lui,</w:t>
      </w:r>
      <w:r w:rsidRPr="006D47B7">
        <w:rPr>
          <w:rStyle w:val="Heading3Char"/>
          <w:rFonts w:ascii="Calibri" w:hAnsi="Calibri"/>
          <w:b w:val="0"/>
          <w:color w:val="auto"/>
        </w:rPr>
        <w:t xml:space="preserve"> nous a joué un air de </w:t>
      </w:r>
      <w:r>
        <w:rPr>
          <w:rStyle w:val="Heading3Char"/>
          <w:rFonts w:ascii="Calibri" w:hAnsi="Calibri"/>
          <w:b w:val="0"/>
          <w:color w:val="auto"/>
        </w:rPr>
        <w:t>clavier pour illustrer qu’il parvient à faire exprimer leurs émotions à des enfants immigrés qui ne maitrisent pas le finlandais.</w:t>
      </w:r>
    </w:p>
    <w:p w:rsidR="00DD0287" w:rsidRDefault="00DD0287" w:rsidP="005D35E7">
      <w:pPr>
        <w:pStyle w:val="NoSpacing"/>
        <w:numPr>
          <w:ilvl w:val="0"/>
          <w:numId w:val="27"/>
        </w:numPr>
        <w:rPr>
          <w:rStyle w:val="Heading3Char"/>
          <w:rFonts w:ascii="Calibri" w:hAnsi="Calibri"/>
          <w:b w:val="0"/>
          <w:color w:val="auto"/>
        </w:rPr>
      </w:pPr>
      <w:r>
        <w:rPr>
          <w:b/>
          <w:bCs/>
        </w:rPr>
        <w:t>Et de nombreuses autres…</w:t>
      </w:r>
    </w:p>
    <w:p w:rsidR="00DD0287" w:rsidRDefault="00DD0287" w:rsidP="00C975F0">
      <w:pPr>
        <w:pStyle w:val="NoSpacing"/>
        <w:rPr>
          <w:rStyle w:val="Heading3Char"/>
          <w:rFonts w:ascii="Calibri" w:hAnsi="Calibri"/>
          <w:b w:val="0"/>
          <w:color w:val="auto"/>
        </w:rPr>
      </w:pPr>
      <w:r>
        <w:rPr>
          <w:noProof/>
        </w:rPr>
        <w:pict>
          <v:shape id="_x0000_s1028" type="#_x0000_t75" style="position:absolute;margin-left:303.6pt;margin-top:24.35pt;width:200.5pt;height:313.15pt;z-index:-251661312" wrapcoords="-81 0 -81 21548 21600 21548 21600 0 -81 0">
            <v:imagedata r:id="rId27" o:title=""/>
            <w10:wrap type="tight"/>
          </v:shape>
        </w:pict>
      </w:r>
      <w:r>
        <w:rPr>
          <w:rStyle w:val="Heading3Char"/>
          <w:rFonts w:ascii="Calibri" w:hAnsi="Calibri"/>
          <w:b w:val="0"/>
          <w:color w:val="auto"/>
        </w:rPr>
        <w:t>A ce moment, j’étais bien contente d’avoir rencontré de sympathiques personnes pour me faire la synthèse des conférences que je n’avais pu voir.</w:t>
      </w:r>
    </w:p>
    <w:p w:rsidR="00DD0287" w:rsidRPr="008F4B28" w:rsidRDefault="00DD0287" w:rsidP="00C975F0">
      <w:pPr>
        <w:pStyle w:val="NoSpacing"/>
        <w:rPr>
          <w:rStyle w:val="Heading3Char"/>
          <w:rFonts w:ascii="Calibri" w:hAnsi="Calibri"/>
          <w:b w:val="0"/>
          <w:color w:val="auto"/>
        </w:rPr>
      </w:pPr>
    </w:p>
    <w:p w:rsidR="00DD0287" w:rsidRDefault="00DD0287" w:rsidP="00D657C8">
      <w:pPr>
        <w:pStyle w:val="NoSpacing"/>
        <w:ind w:left="360"/>
      </w:pPr>
      <w:r>
        <w:rPr>
          <w:rStyle w:val="Heading3Char"/>
        </w:rPr>
        <w:t xml:space="preserve">* </w:t>
      </w:r>
      <w:r w:rsidRPr="0075189D">
        <w:rPr>
          <w:rStyle w:val="Heading3Char"/>
        </w:rPr>
        <w:t>La présentation du poster</w:t>
      </w:r>
      <w:r>
        <w:rPr>
          <w:rStyle w:val="Heading3Char"/>
        </w:rPr>
        <w:t> :</w:t>
      </w:r>
      <w:r>
        <w:t xml:space="preserve"> </w:t>
      </w:r>
    </w:p>
    <w:p w:rsidR="00DD0287" w:rsidRPr="00D26149" w:rsidRDefault="00DD0287" w:rsidP="00D26149">
      <w:pPr>
        <w:pStyle w:val="ListParagraph"/>
        <w:ind w:left="0"/>
        <w:jc w:val="both"/>
        <w:rPr>
          <w:rStyle w:val="Heading3Char"/>
          <w:rFonts w:ascii="Calibri" w:hAnsi="Calibri"/>
          <w:b w:val="0"/>
          <w:color w:val="auto"/>
        </w:rPr>
      </w:pPr>
      <w:r>
        <w:t>Lors d’un congrès IFLA, tous les posters retenus (</w:t>
      </w:r>
      <w:hyperlink r:id="rId28" w:history="1">
        <w:r w:rsidRPr="00222756">
          <w:rPr>
            <w:rStyle w:val="Hyperlink"/>
          </w:rPr>
          <w:t>plus de 200 cette année</w:t>
        </w:r>
      </w:hyperlink>
      <w:r>
        <w:t>) sont rassemblés et affichés durant 4 jours. Sur deux jours de midi à quatorze heures les présentateurs sont devant leurs posters afin d’expliquer le projet mis en avant. C’est ce que l’on appelle les posters sessions. Car bien que l’idée même du poster soit d’être autonome, il est toujours intéressant d’en rencontrer les créateurs. Présenter un poster est d’ailleurs un très bon moyen de rencontrer des bibliothécaires du monde entier qui ont les mêmes intérêts et/ou problématiques. J’ai ainsi pu faire la connaissance de Taru Liikanen (cf. conférence « renouveler la bibliothèque publique ? »), qui exerce à Vantaa en Finlande (</w:t>
      </w:r>
      <w:hyperlink r:id="rId29" w:history="1">
        <w:r w:rsidRPr="00104DF6">
          <w:rPr>
            <w:rStyle w:val="Hyperlink"/>
          </w:rPr>
          <w:t>Facebook</w:t>
        </w:r>
      </w:hyperlink>
      <w:r>
        <w:t xml:space="preserve">  - </w:t>
      </w:r>
      <w:hyperlink r:id="rId30" w:history="1">
        <w:r w:rsidRPr="00104DF6">
          <w:rPr>
            <w:rStyle w:val="Hyperlink"/>
          </w:rPr>
          <w:t>YouTube</w:t>
        </w:r>
      </w:hyperlink>
      <w:r>
        <w:t>). J’ai également rencontré mes voisines de posters : deux bibliothécaires malaysiennes, une taïwanaise, et une nigérienne avec qui nous discutions de nos posters respectifs de l’IFLA, et du métier en général. C’est donc un volet très riche du congrès. Par la suite, les posters présentés au congrès rejoignent la bibliothèque en ligne de l’IFLA.</w:t>
      </w:r>
      <w:r w:rsidRPr="00195C92">
        <w:t xml:space="preserve"> </w:t>
      </w:r>
    </w:p>
    <w:p w:rsidR="00DD0287" w:rsidRPr="00283BF6" w:rsidRDefault="00DD0287" w:rsidP="00D657C8">
      <w:pPr>
        <w:pStyle w:val="NoSpacing"/>
        <w:ind w:left="360"/>
      </w:pPr>
      <w:r>
        <w:rPr>
          <w:rStyle w:val="Heading3Char"/>
        </w:rPr>
        <w:t>* Les temps forts :</w:t>
      </w:r>
    </w:p>
    <w:p w:rsidR="00DD0287" w:rsidRDefault="00DD0287" w:rsidP="00937D28">
      <w:pPr>
        <w:pStyle w:val="NoSpacing"/>
        <w:jc w:val="both"/>
      </w:pPr>
      <w:r>
        <w:t xml:space="preserve">Tout commence avec la conférence d’ouverture. C’est généralement l’occasion pour la ville d’accueil du congrès de mettre en avant son histoire, ses spécialités, ses inventions, etc. Cette année, nous avons eu droit à un spectacle haut en couleurs, digne d’un show à l’américaine ! </w:t>
      </w:r>
    </w:p>
    <w:p w:rsidR="00DD0287" w:rsidRDefault="00DD0287" w:rsidP="00865AA3">
      <w:pPr>
        <w:pStyle w:val="NoSpacing"/>
        <w:keepNext/>
      </w:pPr>
      <w:r>
        <w:pict>
          <v:shape id="_x0000_i1026" type="#_x0000_t75" style="width:345.75pt;height:239.25pt">
            <v:imagedata r:id="rId31" o:title=""/>
          </v:shape>
        </w:pict>
      </w:r>
    </w:p>
    <w:p w:rsidR="00DD0287" w:rsidRDefault="00DD0287" w:rsidP="00865AA3">
      <w:pPr>
        <w:pStyle w:val="Caption"/>
      </w:pPr>
      <w:fldSimple w:instr=" SEQ SC_1_:_Libraries_for_children_and_young_ \* ARABIC ">
        <w:r>
          <w:rPr>
            <w:noProof/>
          </w:rPr>
          <w:t>1</w:t>
        </w:r>
      </w:fldSimple>
      <w:r>
        <w:t xml:space="preserve"> Opening</w:t>
      </w:r>
      <w:r>
        <w:rPr>
          <w:noProof/>
        </w:rPr>
        <w:t xml:space="preserve"> session - DR</w:t>
      </w:r>
    </w:p>
    <w:p w:rsidR="00DD0287" w:rsidRDefault="00DD0287" w:rsidP="00937D28">
      <w:pPr>
        <w:jc w:val="both"/>
      </w:pPr>
      <w:r>
        <w:rPr>
          <w:noProof/>
        </w:rPr>
        <w:pict>
          <v:shape id="_x0000_s1029" type="#_x0000_t75" style="position:absolute;left:0;text-align:left;margin-left:.3pt;margin-top:87.6pt;width:386.7pt;height:243.65pt;z-index:-251659264" wrapcoords="-42 0 -42 21534 21600 21534 21600 0 -42 0">
            <v:imagedata r:id="rId32" o:title=""/>
            <w10:wrap type="tight"/>
          </v:shape>
        </w:pict>
      </w:r>
      <w:r>
        <w:t xml:space="preserve">Les réceptions sont aussi parties intégrantes du congrès et permettent de créer du lien avec des collègues de manière plus simple, et au-delà d’un intérêt professionnel. Quelles soient organisées et prévues  ou pas, les possibilités sont nombreuses. La soirée à ne pas rater lors du congrès est bien sûr le « cultural evening », organisé par l’IFLA. Cette année il a eu lieu au COSI (musée scientifique) et a permis à chacun de s’y amuser à sa guise. </w:t>
      </w:r>
    </w:p>
    <w:p w:rsidR="00DD0287" w:rsidRDefault="00DD0287" w:rsidP="00865AA3">
      <w:pPr>
        <w:keepNext/>
      </w:pPr>
    </w:p>
    <w:p w:rsidR="00DD0287" w:rsidRPr="00A504EE" w:rsidRDefault="00DD0287" w:rsidP="00A53358">
      <w:pPr>
        <w:pStyle w:val="Caption"/>
        <w:ind w:right="-294"/>
      </w:pPr>
      <w:fldSimple w:instr=" SEQ SC_1_:_Libraries_for_children_and_young_ \* ARABIC ">
        <w:r>
          <w:rPr>
            <w:noProof/>
          </w:rPr>
          <w:t>2</w:t>
        </w:r>
      </w:fldSimple>
      <w:r w:rsidRPr="00A504EE">
        <w:t xml:space="preserve"> Cultural Evening at COSI - DR</w:t>
      </w:r>
    </w:p>
    <w:p w:rsidR="00DD0287" w:rsidRPr="00A504EE" w:rsidRDefault="00DD0287" w:rsidP="00A53358">
      <w:pPr>
        <w:keepNext/>
        <w:spacing w:line="168" w:lineRule="auto"/>
      </w:pPr>
    </w:p>
    <w:p w:rsidR="00DD0287" w:rsidRPr="00A504EE" w:rsidRDefault="00DD0287" w:rsidP="00937D28">
      <w:pPr>
        <w:jc w:val="both"/>
      </w:pPr>
    </w:p>
    <w:p w:rsidR="00DD0287" w:rsidRPr="00A504EE" w:rsidRDefault="00DD0287" w:rsidP="00937D28">
      <w:pPr>
        <w:jc w:val="both"/>
      </w:pPr>
    </w:p>
    <w:p w:rsidR="00DD0287" w:rsidRPr="00A504EE" w:rsidRDefault="00DD0287" w:rsidP="00937D28">
      <w:pPr>
        <w:jc w:val="both"/>
      </w:pPr>
    </w:p>
    <w:p w:rsidR="00DD0287" w:rsidRPr="00A504EE" w:rsidRDefault="00DD0287" w:rsidP="00937D28">
      <w:pPr>
        <w:jc w:val="both"/>
      </w:pPr>
    </w:p>
    <w:p w:rsidR="00DD0287" w:rsidRPr="00A504EE" w:rsidRDefault="00DD0287" w:rsidP="00937D28">
      <w:pPr>
        <w:jc w:val="both"/>
      </w:pPr>
    </w:p>
    <w:p w:rsidR="00DD0287" w:rsidRPr="00A9546B" w:rsidRDefault="00DD0287" w:rsidP="009F0493">
      <w:pPr>
        <w:ind w:right="-432"/>
        <w:jc w:val="both"/>
      </w:pPr>
      <w:r w:rsidRPr="00A9546B">
        <w:t>De l’exploration des fonds marins, à la voie lactée, en passant par le corps humain, il y en avait pour tous les go</w:t>
      </w:r>
      <w:r>
        <w:t xml:space="preserve">ûts. Sans oublier deux espaces de danse, dont un a particulièrement plu. Pas de musique ambiante, chacun un casque sur la tête, trois canaux possibles avec chacun une couleur, le principe a fait bouger la foule ! </w:t>
      </w:r>
    </w:p>
    <w:p w:rsidR="00DD0287" w:rsidRPr="00A504EE" w:rsidRDefault="00DD0287" w:rsidP="00A53358">
      <w:pPr>
        <w:pStyle w:val="Caption"/>
        <w:ind w:firstLine="720"/>
      </w:pPr>
      <w:r>
        <w:rPr>
          <w:noProof/>
        </w:rPr>
        <w:pict>
          <v:shape id="_x0000_s1030" type="#_x0000_t75" style="position:absolute;left:0;text-align:left;margin-left:18pt;margin-top:-45pt;width:358.8pt;height:249.9pt;z-index:-251657216">
            <v:imagedata r:id="rId33" o:title=""/>
            <w10:wrap type="topAndBottom"/>
          </v:shape>
        </w:pict>
      </w:r>
      <w:fldSimple w:instr=" SEQ SC_1_:_Libraries_for_children_and_young_ \* ARABIC ">
        <w:r>
          <w:rPr>
            <w:noProof/>
          </w:rPr>
          <w:t>3</w:t>
        </w:r>
      </w:fldSimple>
      <w:r w:rsidRPr="00A504EE">
        <w:t xml:space="preserve"> Cultural Evening at COSI - DR </w:t>
      </w:r>
    </w:p>
    <w:p w:rsidR="00DD0287" w:rsidRDefault="00DD0287" w:rsidP="00937D28">
      <w:pPr>
        <w:jc w:val="both"/>
      </w:pPr>
      <w:r>
        <w:t xml:space="preserve">Et bien sûr la cérémonie de fin de la semaine de congrès qui annonce </w:t>
      </w:r>
      <w:hyperlink r:id="rId34" w:history="1">
        <w:r w:rsidRPr="00D656BD">
          <w:rPr>
            <w:rStyle w:val="Hyperlink"/>
          </w:rPr>
          <w:t>les différents prix décernés</w:t>
        </w:r>
      </w:hyperlink>
      <w:r>
        <w:t xml:space="preserve"> par l’IFLA ainsi que le lieu du congrès à n+2. Alors à vos agendas, le WLIC 2018 aura lieu à Kualalumpur, en Malaysie !</w:t>
      </w:r>
    </w:p>
    <w:p w:rsidR="00DD0287" w:rsidRPr="00283BF6" w:rsidRDefault="00DD0287" w:rsidP="00222756"/>
    <w:p w:rsidR="00DD0287" w:rsidRPr="00283BF6" w:rsidRDefault="00DD0287" w:rsidP="00F6636A">
      <w:pPr>
        <w:pStyle w:val="Heading1"/>
        <w:ind w:left="360"/>
      </w:pPr>
      <w:r>
        <w:t xml:space="preserve">III. </w:t>
      </w:r>
      <w:r w:rsidRPr="00283BF6">
        <w:t>Après, que reste-t-il ?</w:t>
      </w:r>
      <w:r>
        <w:t xml:space="preserve"> </w:t>
      </w:r>
    </w:p>
    <w:p w:rsidR="00DD0287" w:rsidRDefault="00DD0287" w:rsidP="00420DE5">
      <w:pPr>
        <w:pStyle w:val="ListParagraph"/>
      </w:pPr>
      <w:r>
        <w:t xml:space="preserve">J’ai eu la chance d’aller à Montréal avant de rentrer en France et grâce à l’IFLA, j’avais déjà des contacts pour visiter des bibliothèques là-bas ! Ce fut une belle suite à cette expérience qu’est le WLIC : quelques jours intenses qui permettent  de renouveler ses motivations professionnelles par l’échange, la découverte et le partage de connaissances entre bibliothécaires du monde entier. Personnellement, ce congrès m’a vraiment donné envie de m’investir dans l’IFLA et je pense me présenter aux prochaines élections du comité permanent de la section Libraries for Children and Young adults, car il me semble que c’est un réel atout pour être au courant des évolutions du métier tout en favorisant les actions internationales qui sont toujours enrichissantes. </w:t>
      </w:r>
    </w:p>
    <w:p w:rsidR="00DD0287" w:rsidRDefault="00DD0287" w:rsidP="00420DE5">
      <w:pPr>
        <w:pStyle w:val="ListParagraph"/>
      </w:pPr>
      <w:r>
        <w:t xml:space="preserve">Alors je tiens à remercier sincèrement tous ceux qui m’ont aidé dans ce projet, à commencer par mes collègues et la direction des bibliothèques de Bordeaux. Mais aussi et surtout le CFIBD pour la bourse qu’ils m’ont accordée ainsi que pour leur présence et leur soutien tout au long du congrès. </w:t>
      </w:r>
    </w:p>
    <w:p w:rsidR="00DD0287" w:rsidRDefault="00DD0287" w:rsidP="00420DE5">
      <w:pPr>
        <w:pStyle w:val="ListParagraph"/>
      </w:pPr>
      <w:r>
        <w:t>C’est grâce à des associations internationales comme celles-ci et à leurs initiatives, que des projets qui paraissaient insurmontables prennent forme.</w:t>
      </w:r>
    </w:p>
    <w:p w:rsidR="00DD0287" w:rsidRDefault="00DD0287" w:rsidP="0007599A">
      <w:pPr>
        <w:pStyle w:val="ListParagraph"/>
      </w:pPr>
      <w:r>
        <w:t>C’est donc les yeux pleins d’images, la tête pleine d’idées et les poches pleines de cartes de visites que je rentre à Bordeaux, songeant déjà au prochain congrès !</w:t>
      </w:r>
    </w:p>
    <w:p w:rsidR="00DD0287" w:rsidRDefault="00DD0287" w:rsidP="00420DE5">
      <w:pPr>
        <w:pStyle w:val="ListParagraph"/>
      </w:pPr>
    </w:p>
    <w:p w:rsidR="00DD0287" w:rsidRDefault="00DD0287" w:rsidP="00420DE5">
      <w:pPr>
        <w:pStyle w:val="ListParagraph"/>
      </w:pPr>
    </w:p>
    <w:p w:rsidR="00DD0287" w:rsidRPr="00DE23A4" w:rsidRDefault="00DD0287" w:rsidP="00420DE5">
      <w:pPr>
        <w:pStyle w:val="ListParagraph"/>
        <w:rPr>
          <w:sz w:val="20"/>
          <w:szCs w:val="20"/>
        </w:rPr>
      </w:pPr>
      <w:r w:rsidRPr="00DE23A4">
        <w:rPr>
          <w:b/>
          <w:sz w:val="20"/>
          <w:szCs w:val="20"/>
        </w:rPr>
        <w:t>Pour plus de photos :</w:t>
      </w:r>
      <w:r w:rsidRPr="00DE23A4">
        <w:rPr>
          <w:sz w:val="20"/>
          <w:szCs w:val="20"/>
        </w:rPr>
        <w:t xml:space="preserve"> </w:t>
      </w:r>
      <w:hyperlink r:id="rId35" w:history="1">
        <w:r w:rsidRPr="0080359D">
          <w:rPr>
            <w:rStyle w:val="Hyperlink"/>
            <w:sz w:val="20"/>
            <w:szCs w:val="20"/>
          </w:rPr>
          <w:t>Flickr de l’IFLA</w:t>
        </w:r>
      </w:hyperlink>
    </w:p>
    <w:p w:rsidR="00DD0287" w:rsidRPr="00DE23A4" w:rsidRDefault="00DD0287" w:rsidP="00420DE5">
      <w:pPr>
        <w:pStyle w:val="ListParagraph"/>
        <w:rPr>
          <w:sz w:val="20"/>
          <w:szCs w:val="20"/>
        </w:rPr>
      </w:pPr>
      <w:r w:rsidRPr="00DE23A4">
        <w:rPr>
          <w:b/>
          <w:sz w:val="20"/>
          <w:szCs w:val="20"/>
        </w:rPr>
        <w:t>Pour plus de résumé de conférence :</w:t>
      </w:r>
      <w:r w:rsidRPr="00DE23A4">
        <w:rPr>
          <w:sz w:val="20"/>
          <w:szCs w:val="20"/>
        </w:rPr>
        <w:t xml:space="preserve"> </w:t>
      </w:r>
      <w:hyperlink r:id="rId36" w:history="1">
        <w:r w:rsidRPr="0080359D">
          <w:rPr>
            <w:rStyle w:val="Hyperlink"/>
            <w:sz w:val="20"/>
            <w:szCs w:val="20"/>
          </w:rPr>
          <w:t>bibliothèque numérique de l’IFLA</w:t>
        </w:r>
      </w:hyperlink>
    </w:p>
    <w:p w:rsidR="00DD0287" w:rsidRPr="00DE23A4" w:rsidRDefault="00DD0287" w:rsidP="00420DE5">
      <w:pPr>
        <w:pStyle w:val="ListParagraph"/>
        <w:rPr>
          <w:sz w:val="20"/>
          <w:szCs w:val="20"/>
        </w:rPr>
      </w:pPr>
      <w:r w:rsidRPr="00DE23A4">
        <w:rPr>
          <w:b/>
          <w:sz w:val="20"/>
          <w:szCs w:val="20"/>
        </w:rPr>
        <w:t>Pour plus d’information :</w:t>
      </w:r>
      <w:r w:rsidRPr="00DE23A4">
        <w:rPr>
          <w:sz w:val="20"/>
          <w:szCs w:val="20"/>
        </w:rPr>
        <w:t xml:space="preserve"> </w:t>
      </w:r>
      <w:hyperlink r:id="rId37" w:history="1">
        <w:r w:rsidRPr="0080359D">
          <w:rPr>
            <w:rStyle w:val="Hyperlink"/>
            <w:sz w:val="20"/>
            <w:szCs w:val="20"/>
          </w:rPr>
          <w:t>site de l’IFLA</w:t>
        </w:r>
      </w:hyperlink>
    </w:p>
    <w:p w:rsidR="00DD0287" w:rsidRDefault="00DD0287" w:rsidP="00D2691E">
      <w:pPr>
        <w:pStyle w:val="Heading1"/>
        <w:jc w:val="center"/>
      </w:pPr>
      <w:r>
        <w:br w:type="page"/>
        <w:t>Annexe :</w:t>
      </w:r>
    </w:p>
    <w:p w:rsidR="00DD0287" w:rsidRDefault="00DD0287" w:rsidP="00420DE5">
      <w:pPr>
        <w:pStyle w:val="ListParagraph"/>
      </w:pPr>
    </w:p>
    <w:p w:rsidR="00DD0287" w:rsidRDefault="00DD0287" w:rsidP="00420DE5">
      <w:pPr>
        <w:pStyle w:val="ListParagraph"/>
      </w:pPr>
    </w:p>
    <w:p w:rsidR="00DD0287" w:rsidRDefault="00DD0287" w:rsidP="00D2691E">
      <w:pPr>
        <w:pStyle w:val="Heading3"/>
        <w:jc w:val="center"/>
      </w:pPr>
      <w:r>
        <w:rPr>
          <w:noProof/>
        </w:rPr>
        <w:pict>
          <v:shape id="_x0000_s1031" type="#_x0000_t75" style="position:absolute;left:0;text-align:left;margin-left:-50.15pt;margin-top:58.25pt;width:558.15pt;height:232.1pt;z-index:-251656192" wrapcoords="-29 0 -29 21460 21600 21460 21600 0 -29 0">
            <v:imagedata r:id="rId38" o:title=""/>
            <w10:wrap type="through"/>
          </v:shape>
        </w:pict>
      </w:r>
      <w:r w:rsidRPr="00D2691E">
        <w:t>Planning d’une semaine à l’IFLA</w:t>
      </w:r>
    </w:p>
    <w:p w:rsidR="00DD0287" w:rsidRPr="00283BF6" w:rsidRDefault="00DD0287" w:rsidP="00420DE5">
      <w:pPr>
        <w:pStyle w:val="ListParagraph"/>
      </w:pPr>
    </w:p>
    <w:sectPr w:rsidR="00DD0287" w:rsidRPr="00283BF6" w:rsidSect="00433183">
      <w:footerReference w:type="default" r:id="rId39"/>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287" w:rsidRDefault="00DD0287" w:rsidP="00433183">
      <w:pPr>
        <w:spacing w:after="0" w:line="240" w:lineRule="auto"/>
      </w:pPr>
      <w:r>
        <w:separator/>
      </w:r>
    </w:p>
  </w:endnote>
  <w:endnote w:type="continuationSeparator" w:id="0">
    <w:p w:rsidR="00DD0287" w:rsidRDefault="00DD0287" w:rsidP="00433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287" w:rsidRDefault="00DD0287" w:rsidP="00433183">
    <w:pPr>
      <w:pStyle w:val="Footer"/>
      <w:tabs>
        <w:tab w:val="clear" w:pos="9072"/>
        <w:tab w:val="right" w:pos="9066"/>
      </w:tabs>
    </w:pPr>
    <w:r>
      <w:t>Rapport WLIC 2016 – L. Barillot</w:t>
    </w:r>
    <w:r>
      <w:tab/>
    </w:r>
    <w:r>
      <w:tab/>
    </w:r>
    <w:r w:rsidRPr="00433183">
      <w:rPr>
        <w:b/>
      </w:rPr>
      <w:fldChar w:fldCharType="begin"/>
    </w:r>
    <w:r w:rsidRPr="00433183">
      <w:rPr>
        <w:b/>
      </w:rPr>
      <w:instrText>PAGE   \* MERGEFORMAT</w:instrText>
    </w:r>
    <w:r w:rsidRPr="00433183">
      <w:rPr>
        <w:b/>
      </w:rPr>
      <w:fldChar w:fldCharType="separate"/>
    </w:r>
    <w:r>
      <w:rPr>
        <w:b/>
        <w:noProof/>
      </w:rPr>
      <w:t>2</w:t>
    </w:r>
    <w:r w:rsidRPr="00433183">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287" w:rsidRDefault="00DD0287" w:rsidP="00433183">
      <w:pPr>
        <w:spacing w:after="0" w:line="240" w:lineRule="auto"/>
      </w:pPr>
      <w:r>
        <w:separator/>
      </w:r>
    </w:p>
  </w:footnote>
  <w:footnote w:type="continuationSeparator" w:id="0">
    <w:p w:rsidR="00DD0287" w:rsidRDefault="00DD0287" w:rsidP="00433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39AFBA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0A59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2F6B51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48ED0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A66C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2E76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7AD9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FED9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02097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C88D1B8"/>
    <w:lvl w:ilvl="0">
      <w:start w:val="1"/>
      <w:numFmt w:val="bullet"/>
      <w:lvlText w:val=""/>
      <w:lvlJc w:val="left"/>
      <w:pPr>
        <w:tabs>
          <w:tab w:val="num" w:pos="360"/>
        </w:tabs>
        <w:ind w:left="360" w:hanging="360"/>
      </w:pPr>
      <w:rPr>
        <w:rFonts w:ascii="Symbol" w:hAnsi="Symbol" w:hint="default"/>
      </w:rPr>
    </w:lvl>
  </w:abstractNum>
  <w:abstractNum w:abstractNumId="10">
    <w:nsid w:val="02C8527E"/>
    <w:multiLevelType w:val="hybridMultilevel"/>
    <w:tmpl w:val="A2786B58"/>
    <w:lvl w:ilvl="0" w:tplc="17649B12">
      <w:start w:val="1"/>
      <w:numFmt w:val="decimal"/>
      <w:lvlText w:val="%1."/>
      <w:lvlJc w:val="left"/>
      <w:pPr>
        <w:ind w:left="1080" w:hanging="360"/>
      </w:pPr>
      <w:rPr>
        <w:rFonts w:ascii="Cambria" w:hAnsi="Cambria" w:cs="Times New Roman" w:hint="default"/>
        <w:b/>
        <w:color w:val="2DA2BF"/>
        <w:sz w:val="26"/>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1">
    <w:nsid w:val="03057A4C"/>
    <w:multiLevelType w:val="hybridMultilevel"/>
    <w:tmpl w:val="F0245988"/>
    <w:lvl w:ilvl="0" w:tplc="1C8691CE">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037D7348"/>
    <w:multiLevelType w:val="hybridMultilevel"/>
    <w:tmpl w:val="299EF978"/>
    <w:lvl w:ilvl="0" w:tplc="B98E233C">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0DCA24FB"/>
    <w:multiLevelType w:val="hybridMultilevel"/>
    <w:tmpl w:val="EA4AD3B4"/>
    <w:lvl w:ilvl="0" w:tplc="F8F2F26E">
      <w:start w:val="1"/>
      <w:numFmt w:val="bullet"/>
      <w:lvlText w:val="-"/>
      <w:lvlJc w:val="left"/>
      <w:pPr>
        <w:ind w:left="1420" w:hanging="360"/>
      </w:pPr>
      <w:rPr>
        <w:rFonts w:ascii="Cambria" w:eastAsia="MS Mincho" w:hAnsi="Cambri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6A24329"/>
    <w:multiLevelType w:val="hybridMultilevel"/>
    <w:tmpl w:val="83D4BA36"/>
    <w:lvl w:ilvl="0" w:tplc="10EC9C36">
      <w:start w:val="1"/>
      <w:numFmt w:val="bullet"/>
      <w:lvlText w:val=""/>
      <w:lvlJc w:val="left"/>
      <w:pPr>
        <w:ind w:left="142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2E4C666C"/>
    <w:multiLevelType w:val="multilevel"/>
    <w:tmpl w:val="83D4BA36"/>
    <w:lvl w:ilvl="0">
      <w:start w:val="1"/>
      <w:numFmt w:val="bullet"/>
      <w:lvlText w:val=""/>
      <w:lvlJc w:val="left"/>
      <w:pPr>
        <w:ind w:left="142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6">
    <w:nsid w:val="36215B17"/>
    <w:multiLevelType w:val="hybridMultilevel"/>
    <w:tmpl w:val="94DAEE18"/>
    <w:lvl w:ilvl="0" w:tplc="10EC9C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AF4681"/>
    <w:multiLevelType w:val="hybridMultilevel"/>
    <w:tmpl w:val="C662358C"/>
    <w:lvl w:ilvl="0" w:tplc="AA26E31C">
      <w:start w:val="1"/>
      <w:numFmt w:val="decimal"/>
      <w:lvlText w:val="%1."/>
      <w:lvlJc w:val="left"/>
      <w:pPr>
        <w:ind w:left="1080" w:hanging="360"/>
      </w:pPr>
      <w:rPr>
        <w:rFonts w:ascii="Cambria" w:hAnsi="Cambria" w:cs="Times New Roman" w:hint="default"/>
        <w:b/>
        <w:color w:val="2DA2BF"/>
        <w:sz w:val="26"/>
      </w:rPr>
    </w:lvl>
    <w:lvl w:ilvl="1" w:tplc="8E20DFB4">
      <w:start w:val="1"/>
      <w:numFmt w:val="bullet"/>
      <w:lvlText w:val=""/>
      <w:lvlJc w:val="left"/>
      <w:pPr>
        <w:tabs>
          <w:tab w:val="num" w:pos="1800"/>
        </w:tabs>
        <w:ind w:left="1800" w:hanging="360"/>
      </w:pPr>
      <w:rPr>
        <w:rFonts w:ascii="Symbol" w:hAnsi="Symbol" w:hint="default"/>
        <w:b/>
        <w:color w:val="auto"/>
        <w:sz w:val="26"/>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8">
    <w:nsid w:val="4E8744A3"/>
    <w:multiLevelType w:val="hybridMultilevel"/>
    <w:tmpl w:val="CA863070"/>
    <w:lvl w:ilvl="0" w:tplc="87A08D4A">
      <w:start w:val="1"/>
      <w:numFmt w:val="bullet"/>
      <w:lvlText w:val=""/>
      <w:lvlJc w:val="left"/>
      <w:pPr>
        <w:ind w:left="720" w:hanging="360"/>
      </w:pPr>
      <w:rPr>
        <w:rFonts w:ascii="Symbol" w:eastAsia="MS Mincho"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ECB7FC5"/>
    <w:multiLevelType w:val="hybridMultilevel"/>
    <w:tmpl w:val="9F389A96"/>
    <w:lvl w:ilvl="0" w:tplc="0102FAA4">
      <w:start w:val="1"/>
      <w:numFmt w:val="decimal"/>
      <w:lvlText w:val="%1."/>
      <w:lvlJc w:val="left"/>
      <w:pPr>
        <w:ind w:left="720" w:hanging="360"/>
      </w:pPr>
      <w:rPr>
        <w:rFonts w:ascii="Cambria" w:eastAsia="MS Mincho" w:hAnsi="Cambria"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52A96E73"/>
    <w:multiLevelType w:val="hybridMultilevel"/>
    <w:tmpl w:val="FCE6C91C"/>
    <w:lvl w:ilvl="0" w:tplc="10EC9C3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7AD551F"/>
    <w:multiLevelType w:val="hybridMultilevel"/>
    <w:tmpl w:val="093217F2"/>
    <w:lvl w:ilvl="0" w:tplc="F8F2F26E">
      <w:start w:val="1"/>
      <w:numFmt w:val="bullet"/>
      <w:lvlText w:val="-"/>
      <w:lvlJc w:val="left"/>
      <w:pPr>
        <w:ind w:left="1060" w:hanging="360"/>
      </w:pPr>
      <w:rPr>
        <w:rFonts w:ascii="Cambria" w:eastAsia="MS Mincho" w:hAnsi="Cambria"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2">
    <w:nsid w:val="5CB84C8D"/>
    <w:multiLevelType w:val="multilevel"/>
    <w:tmpl w:val="44B2B93C"/>
    <w:lvl w:ilvl="0">
      <w:start w:val="1"/>
      <w:numFmt w:val="decimal"/>
      <w:lvlText w:val="%1."/>
      <w:lvlJc w:val="left"/>
      <w:pPr>
        <w:ind w:left="720" w:hanging="360"/>
      </w:pPr>
      <w:rPr>
        <w:rFonts w:ascii="Cambria" w:eastAsia="Times New Roman" w:hAnsi="Cambria"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63D36D00"/>
    <w:multiLevelType w:val="hybridMultilevel"/>
    <w:tmpl w:val="4168C0A4"/>
    <w:lvl w:ilvl="0" w:tplc="03DC926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876888"/>
    <w:multiLevelType w:val="hybridMultilevel"/>
    <w:tmpl w:val="BA38691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65EB44C9"/>
    <w:multiLevelType w:val="multilevel"/>
    <w:tmpl w:val="C662358C"/>
    <w:lvl w:ilvl="0">
      <w:start w:val="1"/>
      <w:numFmt w:val="decimal"/>
      <w:lvlText w:val="%1."/>
      <w:lvlJc w:val="left"/>
      <w:pPr>
        <w:ind w:left="1080" w:hanging="360"/>
      </w:pPr>
      <w:rPr>
        <w:rFonts w:ascii="Cambria" w:hAnsi="Cambria" w:cs="Times New Roman" w:hint="default"/>
        <w:b/>
        <w:color w:val="2DA2BF"/>
        <w:sz w:val="26"/>
      </w:rPr>
    </w:lvl>
    <w:lvl w:ilvl="1">
      <w:start w:val="1"/>
      <w:numFmt w:val="bullet"/>
      <w:lvlText w:val=""/>
      <w:lvlJc w:val="left"/>
      <w:pPr>
        <w:tabs>
          <w:tab w:val="num" w:pos="1800"/>
        </w:tabs>
        <w:ind w:left="1800" w:hanging="360"/>
      </w:pPr>
      <w:rPr>
        <w:rFonts w:ascii="Symbol" w:hAnsi="Symbol" w:hint="default"/>
        <w:b/>
        <w:color w:val="auto"/>
        <w:sz w:val="26"/>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6">
    <w:nsid w:val="6AD23F2B"/>
    <w:multiLevelType w:val="hybridMultilevel"/>
    <w:tmpl w:val="133E836E"/>
    <w:lvl w:ilvl="0" w:tplc="8E20DFB4">
      <w:start w:val="1"/>
      <w:numFmt w:val="bullet"/>
      <w:lvlText w:val=""/>
      <w:lvlJc w:val="left"/>
      <w:pPr>
        <w:tabs>
          <w:tab w:val="num" w:pos="410"/>
        </w:tabs>
        <w:ind w:left="410" w:hanging="360"/>
      </w:pPr>
      <w:rPr>
        <w:rFonts w:ascii="Symbol" w:hAnsi="Symbol" w:hint="default"/>
        <w:color w:val="auto"/>
      </w:rPr>
    </w:lvl>
    <w:lvl w:ilvl="1" w:tplc="040C0003" w:tentative="1">
      <w:start w:val="1"/>
      <w:numFmt w:val="bullet"/>
      <w:lvlText w:val="o"/>
      <w:lvlJc w:val="left"/>
      <w:pPr>
        <w:tabs>
          <w:tab w:val="num" w:pos="1490"/>
        </w:tabs>
        <w:ind w:left="1490" w:hanging="360"/>
      </w:pPr>
      <w:rPr>
        <w:rFonts w:ascii="Courier New" w:hAnsi="Courier New" w:hint="default"/>
      </w:rPr>
    </w:lvl>
    <w:lvl w:ilvl="2" w:tplc="040C0005" w:tentative="1">
      <w:start w:val="1"/>
      <w:numFmt w:val="bullet"/>
      <w:lvlText w:val=""/>
      <w:lvlJc w:val="left"/>
      <w:pPr>
        <w:tabs>
          <w:tab w:val="num" w:pos="2210"/>
        </w:tabs>
        <w:ind w:left="2210" w:hanging="360"/>
      </w:pPr>
      <w:rPr>
        <w:rFonts w:ascii="Wingdings" w:hAnsi="Wingdings" w:hint="default"/>
      </w:rPr>
    </w:lvl>
    <w:lvl w:ilvl="3" w:tplc="040C0001" w:tentative="1">
      <w:start w:val="1"/>
      <w:numFmt w:val="bullet"/>
      <w:lvlText w:val=""/>
      <w:lvlJc w:val="left"/>
      <w:pPr>
        <w:tabs>
          <w:tab w:val="num" w:pos="2930"/>
        </w:tabs>
        <w:ind w:left="2930" w:hanging="360"/>
      </w:pPr>
      <w:rPr>
        <w:rFonts w:ascii="Symbol" w:hAnsi="Symbol" w:hint="default"/>
      </w:rPr>
    </w:lvl>
    <w:lvl w:ilvl="4" w:tplc="040C0003" w:tentative="1">
      <w:start w:val="1"/>
      <w:numFmt w:val="bullet"/>
      <w:lvlText w:val="o"/>
      <w:lvlJc w:val="left"/>
      <w:pPr>
        <w:tabs>
          <w:tab w:val="num" w:pos="3650"/>
        </w:tabs>
        <w:ind w:left="3650" w:hanging="360"/>
      </w:pPr>
      <w:rPr>
        <w:rFonts w:ascii="Courier New" w:hAnsi="Courier New" w:hint="default"/>
      </w:rPr>
    </w:lvl>
    <w:lvl w:ilvl="5" w:tplc="040C0005" w:tentative="1">
      <w:start w:val="1"/>
      <w:numFmt w:val="bullet"/>
      <w:lvlText w:val=""/>
      <w:lvlJc w:val="left"/>
      <w:pPr>
        <w:tabs>
          <w:tab w:val="num" w:pos="4370"/>
        </w:tabs>
        <w:ind w:left="4370" w:hanging="360"/>
      </w:pPr>
      <w:rPr>
        <w:rFonts w:ascii="Wingdings" w:hAnsi="Wingdings" w:hint="default"/>
      </w:rPr>
    </w:lvl>
    <w:lvl w:ilvl="6" w:tplc="040C0001" w:tentative="1">
      <w:start w:val="1"/>
      <w:numFmt w:val="bullet"/>
      <w:lvlText w:val=""/>
      <w:lvlJc w:val="left"/>
      <w:pPr>
        <w:tabs>
          <w:tab w:val="num" w:pos="5090"/>
        </w:tabs>
        <w:ind w:left="5090" w:hanging="360"/>
      </w:pPr>
      <w:rPr>
        <w:rFonts w:ascii="Symbol" w:hAnsi="Symbol" w:hint="default"/>
      </w:rPr>
    </w:lvl>
    <w:lvl w:ilvl="7" w:tplc="040C0003" w:tentative="1">
      <w:start w:val="1"/>
      <w:numFmt w:val="bullet"/>
      <w:lvlText w:val="o"/>
      <w:lvlJc w:val="left"/>
      <w:pPr>
        <w:tabs>
          <w:tab w:val="num" w:pos="5810"/>
        </w:tabs>
        <w:ind w:left="5810" w:hanging="360"/>
      </w:pPr>
      <w:rPr>
        <w:rFonts w:ascii="Courier New" w:hAnsi="Courier New" w:hint="default"/>
      </w:rPr>
    </w:lvl>
    <w:lvl w:ilvl="8" w:tplc="040C0005" w:tentative="1">
      <w:start w:val="1"/>
      <w:numFmt w:val="bullet"/>
      <w:lvlText w:val=""/>
      <w:lvlJc w:val="left"/>
      <w:pPr>
        <w:tabs>
          <w:tab w:val="num" w:pos="6530"/>
        </w:tabs>
        <w:ind w:left="6530" w:hanging="360"/>
      </w:pPr>
      <w:rPr>
        <w:rFonts w:ascii="Wingdings" w:hAnsi="Wingdings" w:hint="default"/>
      </w:rPr>
    </w:lvl>
  </w:abstractNum>
  <w:abstractNum w:abstractNumId="27">
    <w:nsid w:val="6E284BE7"/>
    <w:multiLevelType w:val="hybridMultilevel"/>
    <w:tmpl w:val="44B2B93C"/>
    <w:lvl w:ilvl="0" w:tplc="C7A80594">
      <w:start w:val="1"/>
      <w:numFmt w:val="decimal"/>
      <w:lvlText w:val="%1."/>
      <w:lvlJc w:val="left"/>
      <w:pPr>
        <w:ind w:left="720" w:hanging="360"/>
      </w:pPr>
      <w:rPr>
        <w:rFonts w:ascii="Cambria" w:eastAsia="Times New Roman" w:hAnsi="Cambria"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7B960517"/>
    <w:multiLevelType w:val="hybridMultilevel"/>
    <w:tmpl w:val="5C849688"/>
    <w:lvl w:ilvl="0" w:tplc="10EC9C36">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hint="default"/>
      </w:rPr>
    </w:lvl>
    <w:lvl w:ilvl="8" w:tplc="040C0005" w:tentative="1">
      <w:start w:val="1"/>
      <w:numFmt w:val="bullet"/>
      <w:lvlText w:val=""/>
      <w:lvlJc w:val="left"/>
      <w:pPr>
        <w:ind w:left="7180" w:hanging="360"/>
      </w:pPr>
      <w:rPr>
        <w:rFonts w:ascii="Wingdings" w:hAnsi="Wingdings" w:hint="default"/>
      </w:rPr>
    </w:lvl>
  </w:abstractNum>
  <w:num w:numId="1">
    <w:abstractNumId w:val="18"/>
  </w:num>
  <w:num w:numId="2">
    <w:abstractNumId w:val="21"/>
  </w:num>
  <w:num w:numId="3">
    <w:abstractNumId w:val="11"/>
  </w:num>
  <w:num w:numId="4">
    <w:abstractNumId w:val="19"/>
  </w:num>
  <w:num w:numId="5">
    <w:abstractNumId w:val="27"/>
  </w:num>
  <w:num w:numId="6">
    <w:abstractNumId w:val="12"/>
  </w:num>
  <w:num w:numId="7">
    <w:abstractNumId w:val="24"/>
  </w:num>
  <w:num w:numId="8">
    <w:abstractNumId w:val="10"/>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22"/>
  </w:num>
  <w:num w:numId="20">
    <w:abstractNumId w:val="13"/>
  </w:num>
  <w:num w:numId="21">
    <w:abstractNumId w:val="14"/>
  </w:num>
  <w:num w:numId="22">
    <w:abstractNumId w:val="17"/>
  </w:num>
  <w:num w:numId="23">
    <w:abstractNumId w:val="20"/>
  </w:num>
  <w:num w:numId="24">
    <w:abstractNumId w:val="28"/>
  </w:num>
  <w:num w:numId="25">
    <w:abstractNumId w:val="23"/>
  </w:num>
  <w:num w:numId="26">
    <w:abstractNumId w:val="16"/>
  </w:num>
  <w:num w:numId="27">
    <w:abstractNumId w:val="26"/>
  </w:num>
  <w:num w:numId="28">
    <w:abstractNumId w:val="25"/>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BA4"/>
    <w:rsid w:val="00002816"/>
    <w:rsid w:val="000124B4"/>
    <w:rsid w:val="00016E81"/>
    <w:rsid w:val="0003307E"/>
    <w:rsid w:val="00036AE1"/>
    <w:rsid w:val="000470FF"/>
    <w:rsid w:val="0007599A"/>
    <w:rsid w:val="0008393B"/>
    <w:rsid w:val="00096B79"/>
    <w:rsid w:val="000B2E31"/>
    <w:rsid w:val="000E77BC"/>
    <w:rsid w:val="000F2A58"/>
    <w:rsid w:val="00104DF6"/>
    <w:rsid w:val="001421B1"/>
    <w:rsid w:val="001667E4"/>
    <w:rsid w:val="00166A45"/>
    <w:rsid w:val="0018308D"/>
    <w:rsid w:val="00195C92"/>
    <w:rsid w:val="001B2846"/>
    <w:rsid w:val="001B7EA3"/>
    <w:rsid w:val="001D51BD"/>
    <w:rsid w:val="001D6DAB"/>
    <w:rsid w:val="00216306"/>
    <w:rsid w:val="00222756"/>
    <w:rsid w:val="00222B35"/>
    <w:rsid w:val="002336E1"/>
    <w:rsid w:val="00280477"/>
    <w:rsid w:val="00282760"/>
    <w:rsid w:val="00283BF6"/>
    <w:rsid w:val="00286354"/>
    <w:rsid w:val="0028726F"/>
    <w:rsid w:val="002A3DCC"/>
    <w:rsid w:val="002A42F5"/>
    <w:rsid w:val="002A6371"/>
    <w:rsid w:val="002D2556"/>
    <w:rsid w:val="002F0479"/>
    <w:rsid w:val="002F4011"/>
    <w:rsid w:val="00325B74"/>
    <w:rsid w:val="003528D9"/>
    <w:rsid w:val="00353417"/>
    <w:rsid w:val="00366D74"/>
    <w:rsid w:val="003817DA"/>
    <w:rsid w:val="00394880"/>
    <w:rsid w:val="00395655"/>
    <w:rsid w:val="003C4FA7"/>
    <w:rsid w:val="003F44DE"/>
    <w:rsid w:val="003F5F49"/>
    <w:rsid w:val="004169DB"/>
    <w:rsid w:val="00420DE5"/>
    <w:rsid w:val="00433183"/>
    <w:rsid w:val="0045657D"/>
    <w:rsid w:val="004624DF"/>
    <w:rsid w:val="004C45F6"/>
    <w:rsid w:val="004D24E9"/>
    <w:rsid w:val="004D7432"/>
    <w:rsid w:val="004E5D9C"/>
    <w:rsid w:val="00511FDC"/>
    <w:rsid w:val="00513F71"/>
    <w:rsid w:val="00542E3A"/>
    <w:rsid w:val="00543C57"/>
    <w:rsid w:val="005841F9"/>
    <w:rsid w:val="005845B4"/>
    <w:rsid w:val="005846AF"/>
    <w:rsid w:val="005861FD"/>
    <w:rsid w:val="005862F6"/>
    <w:rsid w:val="005B2D89"/>
    <w:rsid w:val="005B7EC1"/>
    <w:rsid w:val="005C7470"/>
    <w:rsid w:val="005D35E7"/>
    <w:rsid w:val="005F6317"/>
    <w:rsid w:val="00602D3B"/>
    <w:rsid w:val="006055B5"/>
    <w:rsid w:val="00612198"/>
    <w:rsid w:val="00635814"/>
    <w:rsid w:val="00643113"/>
    <w:rsid w:val="0064547B"/>
    <w:rsid w:val="00655BB5"/>
    <w:rsid w:val="0065778F"/>
    <w:rsid w:val="00662B19"/>
    <w:rsid w:val="006671F3"/>
    <w:rsid w:val="00667DF1"/>
    <w:rsid w:val="00676DB4"/>
    <w:rsid w:val="00691410"/>
    <w:rsid w:val="00695BA4"/>
    <w:rsid w:val="006A1606"/>
    <w:rsid w:val="006C0631"/>
    <w:rsid w:val="006C1BB0"/>
    <w:rsid w:val="006D47B7"/>
    <w:rsid w:val="0073393D"/>
    <w:rsid w:val="00742DCB"/>
    <w:rsid w:val="00745C38"/>
    <w:rsid w:val="0075189D"/>
    <w:rsid w:val="00776D06"/>
    <w:rsid w:val="007A04A2"/>
    <w:rsid w:val="007A46BA"/>
    <w:rsid w:val="007B2AD5"/>
    <w:rsid w:val="007B5201"/>
    <w:rsid w:val="007C06C3"/>
    <w:rsid w:val="007D39E5"/>
    <w:rsid w:val="0080359D"/>
    <w:rsid w:val="00804156"/>
    <w:rsid w:val="00820EE1"/>
    <w:rsid w:val="00823168"/>
    <w:rsid w:val="008338AC"/>
    <w:rsid w:val="008575C1"/>
    <w:rsid w:val="00865AA3"/>
    <w:rsid w:val="00891216"/>
    <w:rsid w:val="00895189"/>
    <w:rsid w:val="0089544D"/>
    <w:rsid w:val="008A3C90"/>
    <w:rsid w:val="008A6E96"/>
    <w:rsid w:val="008A7A07"/>
    <w:rsid w:val="008D641E"/>
    <w:rsid w:val="008E1040"/>
    <w:rsid w:val="008E4178"/>
    <w:rsid w:val="008F12AE"/>
    <w:rsid w:val="008F4B28"/>
    <w:rsid w:val="0091306E"/>
    <w:rsid w:val="00937D28"/>
    <w:rsid w:val="00941F3A"/>
    <w:rsid w:val="00955994"/>
    <w:rsid w:val="009A0D51"/>
    <w:rsid w:val="009A74FA"/>
    <w:rsid w:val="009D23B3"/>
    <w:rsid w:val="009E7437"/>
    <w:rsid w:val="009F0493"/>
    <w:rsid w:val="00A00399"/>
    <w:rsid w:val="00A0639D"/>
    <w:rsid w:val="00A16B18"/>
    <w:rsid w:val="00A267D6"/>
    <w:rsid w:val="00A43DEA"/>
    <w:rsid w:val="00A504EE"/>
    <w:rsid w:val="00A53358"/>
    <w:rsid w:val="00A55386"/>
    <w:rsid w:val="00A56C3D"/>
    <w:rsid w:val="00A56D46"/>
    <w:rsid w:val="00A9546B"/>
    <w:rsid w:val="00AB44DA"/>
    <w:rsid w:val="00B637E6"/>
    <w:rsid w:val="00B71430"/>
    <w:rsid w:val="00B84BA4"/>
    <w:rsid w:val="00B86712"/>
    <w:rsid w:val="00B94456"/>
    <w:rsid w:val="00B95565"/>
    <w:rsid w:val="00BB104A"/>
    <w:rsid w:val="00BC443C"/>
    <w:rsid w:val="00BD44CB"/>
    <w:rsid w:val="00BE1B21"/>
    <w:rsid w:val="00C20408"/>
    <w:rsid w:val="00C21B03"/>
    <w:rsid w:val="00C24D07"/>
    <w:rsid w:val="00C6124E"/>
    <w:rsid w:val="00C62C5F"/>
    <w:rsid w:val="00C63ECB"/>
    <w:rsid w:val="00C975F0"/>
    <w:rsid w:val="00CC1730"/>
    <w:rsid w:val="00CD2C09"/>
    <w:rsid w:val="00D03845"/>
    <w:rsid w:val="00D05F79"/>
    <w:rsid w:val="00D26149"/>
    <w:rsid w:val="00D2691E"/>
    <w:rsid w:val="00D37588"/>
    <w:rsid w:val="00D554FE"/>
    <w:rsid w:val="00D656BD"/>
    <w:rsid w:val="00D657C8"/>
    <w:rsid w:val="00D74A22"/>
    <w:rsid w:val="00DB1C26"/>
    <w:rsid w:val="00DD0287"/>
    <w:rsid w:val="00DE23A4"/>
    <w:rsid w:val="00E14805"/>
    <w:rsid w:val="00E17040"/>
    <w:rsid w:val="00E54583"/>
    <w:rsid w:val="00E6593F"/>
    <w:rsid w:val="00ED7DC7"/>
    <w:rsid w:val="00EE6657"/>
    <w:rsid w:val="00F25BCD"/>
    <w:rsid w:val="00F37F79"/>
    <w:rsid w:val="00F65808"/>
    <w:rsid w:val="00F658BA"/>
    <w:rsid w:val="00F65E00"/>
    <w:rsid w:val="00F6636A"/>
    <w:rsid w:val="00F6747B"/>
    <w:rsid w:val="00F97A51"/>
    <w:rsid w:val="00FD6343"/>
    <w:rsid w:val="00FE47C7"/>
    <w:rsid w:val="00FE5ACC"/>
    <w:rsid w:val="00FF5E4E"/>
    <w:rsid w:val="00FF70D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1306E"/>
    <w:pPr>
      <w:spacing w:after="200" w:line="276" w:lineRule="auto"/>
    </w:pPr>
  </w:style>
  <w:style w:type="paragraph" w:styleId="Heading1">
    <w:name w:val="heading 1"/>
    <w:basedOn w:val="Normal"/>
    <w:next w:val="Normal"/>
    <w:link w:val="Heading1Char"/>
    <w:uiPriority w:val="99"/>
    <w:qFormat/>
    <w:rsid w:val="0091306E"/>
    <w:pPr>
      <w:keepNext/>
      <w:keepLines/>
      <w:spacing w:before="480" w:after="0"/>
      <w:outlineLvl w:val="0"/>
    </w:pPr>
    <w:rPr>
      <w:rFonts w:ascii="Cambria" w:hAnsi="Cambria"/>
      <w:b/>
      <w:color w:val="21798E"/>
      <w:sz w:val="28"/>
      <w:szCs w:val="20"/>
    </w:rPr>
  </w:style>
  <w:style w:type="paragraph" w:styleId="Heading2">
    <w:name w:val="heading 2"/>
    <w:basedOn w:val="Normal"/>
    <w:next w:val="Normal"/>
    <w:link w:val="Heading2Char"/>
    <w:uiPriority w:val="99"/>
    <w:qFormat/>
    <w:rsid w:val="0091306E"/>
    <w:pPr>
      <w:keepNext/>
      <w:keepLines/>
      <w:spacing w:before="200" w:after="0"/>
      <w:outlineLvl w:val="1"/>
    </w:pPr>
    <w:rPr>
      <w:rFonts w:ascii="Cambria" w:hAnsi="Cambria"/>
      <w:b/>
      <w:color w:val="2DA2BF"/>
      <w:sz w:val="26"/>
      <w:szCs w:val="20"/>
    </w:rPr>
  </w:style>
  <w:style w:type="paragraph" w:styleId="Heading3">
    <w:name w:val="heading 3"/>
    <w:basedOn w:val="Normal"/>
    <w:next w:val="Normal"/>
    <w:link w:val="Heading3Char"/>
    <w:uiPriority w:val="99"/>
    <w:qFormat/>
    <w:locked/>
    <w:rsid w:val="0091306E"/>
    <w:pPr>
      <w:keepNext/>
      <w:keepLines/>
      <w:spacing w:before="200" w:after="0"/>
      <w:outlineLvl w:val="2"/>
    </w:pPr>
    <w:rPr>
      <w:rFonts w:ascii="Cambria" w:hAnsi="Cambria"/>
      <w:b/>
      <w:color w:val="2DA2BF"/>
      <w:sz w:val="20"/>
      <w:szCs w:val="20"/>
    </w:rPr>
  </w:style>
  <w:style w:type="paragraph" w:styleId="Heading4">
    <w:name w:val="heading 4"/>
    <w:basedOn w:val="Normal"/>
    <w:next w:val="Normal"/>
    <w:link w:val="Heading4Char"/>
    <w:uiPriority w:val="99"/>
    <w:qFormat/>
    <w:locked/>
    <w:rsid w:val="0091306E"/>
    <w:pPr>
      <w:keepNext/>
      <w:keepLines/>
      <w:spacing w:before="200" w:after="0"/>
      <w:outlineLvl w:val="3"/>
    </w:pPr>
    <w:rPr>
      <w:rFonts w:ascii="Cambria" w:hAnsi="Cambria"/>
      <w:b/>
      <w:i/>
      <w:color w:val="2DA2BF"/>
      <w:sz w:val="20"/>
      <w:szCs w:val="20"/>
    </w:rPr>
  </w:style>
  <w:style w:type="paragraph" w:styleId="Heading5">
    <w:name w:val="heading 5"/>
    <w:basedOn w:val="Normal"/>
    <w:next w:val="Normal"/>
    <w:link w:val="Heading5Char"/>
    <w:uiPriority w:val="99"/>
    <w:qFormat/>
    <w:locked/>
    <w:rsid w:val="0091306E"/>
    <w:pPr>
      <w:keepNext/>
      <w:keepLines/>
      <w:spacing w:before="200" w:after="0"/>
      <w:outlineLvl w:val="4"/>
    </w:pPr>
    <w:rPr>
      <w:rFonts w:ascii="Cambria" w:hAnsi="Cambria"/>
      <w:color w:val="16505E"/>
      <w:sz w:val="20"/>
      <w:szCs w:val="20"/>
    </w:rPr>
  </w:style>
  <w:style w:type="paragraph" w:styleId="Heading6">
    <w:name w:val="heading 6"/>
    <w:basedOn w:val="Normal"/>
    <w:next w:val="Normal"/>
    <w:link w:val="Heading6Char"/>
    <w:uiPriority w:val="99"/>
    <w:qFormat/>
    <w:locked/>
    <w:rsid w:val="0091306E"/>
    <w:pPr>
      <w:keepNext/>
      <w:keepLines/>
      <w:spacing w:before="200" w:after="0"/>
      <w:outlineLvl w:val="5"/>
    </w:pPr>
    <w:rPr>
      <w:rFonts w:ascii="Cambria" w:hAnsi="Cambria"/>
      <w:i/>
      <w:color w:val="16505E"/>
      <w:sz w:val="20"/>
      <w:szCs w:val="20"/>
    </w:rPr>
  </w:style>
  <w:style w:type="paragraph" w:styleId="Heading7">
    <w:name w:val="heading 7"/>
    <w:basedOn w:val="Normal"/>
    <w:next w:val="Normal"/>
    <w:link w:val="Heading7Char"/>
    <w:uiPriority w:val="99"/>
    <w:qFormat/>
    <w:locked/>
    <w:rsid w:val="0091306E"/>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9"/>
    <w:qFormat/>
    <w:locked/>
    <w:rsid w:val="0091306E"/>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9"/>
    <w:qFormat/>
    <w:locked/>
    <w:rsid w:val="0091306E"/>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306E"/>
    <w:rPr>
      <w:rFonts w:ascii="Cambria" w:hAnsi="Cambria" w:cs="Times New Roman"/>
      <w:b/>
      <w:color w:val="21798E"/>
      <w:sz w:val="28"/>
    </w:rPr>
  </w:style>
  <w:style w:type="character" w:customStyle="1" w:styleId="Heading2Char">
    <w:name w:val="Heading 2 Char"/>
    <w:basedOn w:val="DefaultParagraphFont"/>
    <w:link w:val="Heading2"/>
    <w:uiPriority w:val="99"/>
    <w:locked/>
    <w:rsid w:val="0091306E"/>
    <w:rPr>
      <w:rFonts w:ascii="Cambria" w:hAnsi="Cambria" w:cs="Times New Roman"/>
      <w:b/>
      <w:color w:val="2DA2BF"/>
      <w:sz w:val="26"/>
    </w:rPr>
  </w:style>
  <w:style w:type="character" w:customStyle="1" w:styleId="Heading3Char">
    <w:name w:val="Heading 3 Char"/>
    <w:basedOn w:val="DefaultParagraphFont"/>
    <w:link w:val="Heading3"/>
    <w:uiPriority w:val="99"/>
    <w:locked/>
    <w:rsid w:val="0091306E"/>
    <w:rPr>
      <w:rFonts w:ascii="Cambria" w:hAnsi="Cambria" w:cs="Times New Roman"/>
      <w:b/>
      <w:color w:val="2DA2BF"/>
    </w:rPr>
  </w:style>
  <w:style w:type="character" w:customStyle="1" w:styleId="Heading4Char">
    <w:name w:val="Heading 4 Char"/>
    <w:basedOn w:val="DefaultParagraphFont"/>
    <w:link w:val="Heading4"/>
    <w:uiPriority w:val="99"/>
    <w:semiHidden/>
    <w:locked/>
    <w:rsid w:val="0091306E"/>
    <w:rPr>
      <w:rFonts w:ascii="Cambria" w:hAnsi="Cambria" w:cs="Times New Roman"/>
      <w:b/>
      <w:i/>
      <w:color w:val="2DA2BF"/>
    </w:rPr>
  </w:style>
  <w:style w:type="character" w:customStyle="1" w:styleId="Heading5Char">
    <w:name w:val="Heading 5 Char"/>
    <w:basedOn w:val="DefaultParagraphFont"/>
    <w:link w:val="Heading5"/>
    <w:uiPriority w:val="99"/>
    <w:semiHidden/>
    <w:locked/>
    <w:rsid w:val="0091306E"/>
    <w:rPr>
      <w:rFonts w:ascii="Cambria" w:hAnsi="Cambria" w:cs="Times New Roman"/>
      <w:color w:val="16505E"/>
    </w:rPr>
  </w:style>
  <w:style w:type="character" w:customStyle="1" w:styleId="Heading6Char">
    <w:name w:val="Heading 6 Char"/>
    <w:basedOn w:val="DefaultParagraphFont"/>
    <w:link w:val="Heading6"/>
    <w:uiPriority w:val="99"/>
    <w:semiHidden/>
    <w:locked/>
    <w:rsid w:val="0091306E"/>
    <w:rPr>
      <w:rFonts w:ascii="Cambria" w:hAnsi="Cambria" w:cs="Times New Roman"/>
      <w:i/>
      <w:color w:val="16505E"/>
    </w:rPr>
  </w:style>
  <w:style w:type="character" w:customStyle="1" w:styleId="Heading7Char">
    <w:name w:val="Heading 7 Char"/>
    <w:basedOn w:val="DefaultParagraphFont"/>
    <w:link w:val="Heading7"/>
    <w:uiPriority w:val="99"/>
    <w:semiHidden/>
    <w:locked/>
    <w:rsid w:val="0091306E"/>
    <w:rPr>
      <w:rFonts w:ascii="Cambria" w:hAnsi="Cambria" w:cs="Times New Roman"/>
      <w:i/>
      <w:color w:val="404040"/>
    </w:rPr>
  </w:style>
  <w:style w:type="character" w:customStyle="1" w:styleId="Heading8Char">
    <w:name w:val="Heading 8 Char"/>
    <w:basedOn w:val="DefaultParagraphFont"/>
    <w:link w:val="Heading8"/>
    <w:uiPriority w:val="99"/>
    <w:semiHidden/>
    <w:locked/>
    <w:rsid w:val="0091306E"/>
    <w:rPr>
      <w:rFonts w:ascii="Cambria" w:hAnsi="Cambria" w:cs="Times New Roman"/>
      <w:color w:val="2DA2BF"/>
      <w:sz w:val="20"/>
    </w:rPr>
  </w:style>
  <w:style w:type="character" w:customStyle="1" w:styleId="Heading9Char">
    <w:name w:val="Heading 9 Char"/>
    <w:basedOn w:val="DefaultParagraphFont"/>
    <w:link w:val="Heading9"/>
    <w:uiPriority w:val="99"/>
    <w:semiHidden/>
    <w:locked/>
    <w:rsid w:val="0091306E"/>
    <w:rPr>
      <w:rFonts w:ascii="Cambria" w:hAnsi="Cambria" w:cs="Times New Roman"/>
      <w:i/>
      <w:color w:val="404040"/>
      <w:sz w:val="20"/>
    </w:rPr>
  </w:style>
  <w:style w:type="paragraph" w:styleId="ListParagraph">
    <w:name w:val="List Paragraph"/>
    <w:basedOn w:val="Normal"/>
    <w:uiPriority w:val="99"/>
    <w:qFormat/>
    <w:rsid w:val="0091306E"/>
    <w:pPr>
      <w:ind w:left="720"/>
      <w:contextualSpacing/>
    </w:pPr>
  </w:style>
  <w:style w:type="paragraph" w:styleId="Title">
    <w:name w:val="Title"/>
    <w:basedOn w:val="Normal"/>
    <w:next w:val="Normal"/>
    <w:link w:val="TitleChar"/>
    <w:uiPriority w:val="99"/>
    <w:qFormat/>
    <w:rsid w:val="0091306E"/>
    <w:pPr>
      <w:pBdr>
        <w:bottom w:val="single" w:sz="8" w:space="4" w:color="2DA2BF"/>
      </w:pBdr>
      <w:spacing w:after="300" w:line="240" w:lineRule="auto"/>
      <w:contextualSpacing/>
    </w:pPr>
    <w:rPr>
      <w:rFonts w:ascii="Cambria" w:hAnsi="Cambria"/>
      <w:color w:val="343434"/>
      <w:spacing w:val="5"/>
      <w:kern w:val="28"/>
      <w:sz w:val="52"/>
      <w:szCs w:val="20"/>
    </w:rPr>
  </w:style>
  <w:style w:type="character" w:customStyle="1" w:styleId="TitleChar">
    <w:name w:val="Title Char"/>
    <w:basedOn w:val="DefaultParagraphFont"/>
    <w:link w:val="Title"/>
    <w:uiPriority w:val="99"/>
    <w:locked/>
    <w:rsid w:val="0091306E"/>
    <w:rPr>
      <w:rFonts w:ascii="Cambria" w:hAnsi="Cambria" w:cs="Times New Roman"/>
      <w:color w:val="343434"/>
      <w:spacing w:val="5"/>
      <w:kern w:val="28"/>
      <w:sz w:val="52"/>
    </w:rPr>
  </w:style>
  <w:style w:type="character" w:styleId="Hyperlink">
    <w:name w:val="Hyperlink"/>
    <w:basedOn w:val="DefaultParagraphFont"/>
    <w:uiPriority w:val="99"/>
    <w:rsid w:val="00F37F79"/>
    <w:rPr>
      <w:rFonts w:cs="Times New Roman"/>
      <w:color w:val="0000FF"/>
      <w:u w:val="single"/>
    </w:rPr>
  </w:style>
  <w:style w:type="character" w:styleId="SubtleEmphasis">
    <w:name w:val="Subtle Emphasis"/>
    <w:basedOn w:val="DefaultParagraphFont"/>
    <w:uiPriority w:val="99"/>
    <w:qFormat/>
    <w:rsid w:val="0091306E"/>
    <w:rPr>
      <w:rFonts w:cs="Times New Roman"/>
      <w:i/>
      <w:color w:val="808080"/>
    </w:rPr>
  </w:style>
  <w:style w:type="paragraph" w:styleId="Caption">
    <w:name w:val="caption"/>
    <w:basedOn w:val="Normal"/>
    <w:next w:val="Normal"/>
    <w:uiPriority w:val="99"/>
    <w:qFormat/>
    <w:locked/>
    <w:rsid w:val="0091306E"/>
    <w:pPr>
      <w:spacing w:line="240" w:lineRule="auto"/>
    </w:pPr>
    <w:rPr>
      <w:b/>
      <w:bCs/>
      <w:color w:val="4F81BD"/>
      <w:sz w:val="18"/>
      <w:szCs w:val="18"/>
    </w:rPr>
  </w:style>
  <w:style w:type="paragraph" w:styleId="Subtitle">
    <w:name w:val="Subtitle"/>
    <w:basedOn w:val="Normal"/>
    <w:next w:val="Normal"/>
    <w:link w:val="SubtitleChar"/>
    <w:uiPriority w:val="99"/>
    <w:qFormat/>
    <w:locked/>
    <w:rsid w:val="0091306E"/>
    <w:pPr>
      <w:numPr>
        <w:ilvl w:val="1"/>
      </w:numPr>
    </w:pPr>
    <w:rPr>
      <w:rFonts w:ascii="Cambria" w:hAnsi="Cambria"/>
      <w:i/>
      <w:color w:val="2DA2BF"/>
      <w:spacing w:val="15"/>
      <w:sz w:val="24"/>
      <w:szCs w:val="20"/>
    </w:rPr>
  </w:style>
  <w:style w:type="character" w:customStyle="1" w:styleId="SubtitleChar">
    <w:name w:val="Subtitle Char"/>
    <w:basedOn w:val="DefaultParagraphFont"/>
    <w:link w:val="Subtitle"/>
    <w:uiPriority w:val="99"/>
    <w:locked/>
    <w:rsid w:val="0091306E"/>
    <w:rPr>
      <w:rFonts w:ascii="Cambria" w:hAnsi="Cambria" w:cs="Times New Roman"/>
      <w:i/>
      <w:color w:val="2DA2BF"/>
      <w:spacing w:val="15"/>
      <w:sz w:val="24"/>
    </w:rPr>
  </w:style>
  <w:style w:type="character" w:styleId="Strong">
    <w:name w:val="Strong"/>
    <w:basedOn w:val="DefaultParagraphFont"/>
    <w:uiPriority w:val="99"/>
    <w:qFormat/>
    <w:locked/>
    <w:rsid w:val="0091306E"/>
    <w:rPr>
      <w:rFonts w:cs="Times New Roman"/>
      <w:b/>
    </w:rPr>
  </w:style>
  <w:style w:type="character" w:styleId="Emphasis">
    <w:name w:val="Emphasis"/>
    <w:basedOn w:val="DefaultParagraphFont"/>
    <w:uiPriority w:val="99"/>
    <w:qFormat/>
    <w:locked/>
    <w:rsid w:val="0091306E"/>
    <w:rPr>
      <w:rFonts w:cs="Times New Roman"/>
      <w:i/>
    </w:rPr>
  </w:style>
  <w:style w:type="paragraph" w:styleId="NoSpacing">
    <w:name w:val="No Spacing"/>
    <w:uiPriority w:val="99"/>
    <w:qFormat/>
    <w:rsid w:val="0091306E"/>
  </w:style>
  <w:style w:type="paragraph" w:styleId="Quote">
    <w:name w:val="Quote"/>
    <w:basedOn w:val="Normal"/>
    <w:next w:val="Normal"/>
    <w:link w:val="QuoteChar"/>
    <w:uiPriority w:val="99"/>
    <w:qFormat/>
    <w:rsid w:val="0091306E"/>
    <w:rPr>
      <w:i/>
      <w:color w:val="000000"/>
      <w:sz w:val="20"/>
      <w:szCs w:val="20"/>
    </w:rPr>
  </w:style>
  <w:style w:type="character" w:customStyle="1" w:styleId="QuoteChar">
    <w:name w:val="Quote Char"/>
    <w:basedOn w:val="DefaultParagraphFont"/>
    <w:link w:val="Quote"/>
    <w:uiPriority w:val="99"/>
    <w:locked/>
    <w:rsid w:val="0091306E"/>
    <w:rPr>
      <w:rFonts w:cs="Times New Roman"/>
      <w:i/>
      <w:color w:val="000000"/>
    </w:rPr>
  </w:style>
  <w:style w:type="paragraph" w:styleId="IntenseQuote">
    <w:name w:val="Intense Quote"/>
    <w:basedOn w:val="Normal"/>
    <w:next w:val="Normal"/>
    <w:link w:val="IntenseQuoteChar"/>
    <w:uiPriority w:val="99"/>
    <w:qFormat/>
    <w:rsid w:val="0091306E"/>
    <w:pPr>
      <w:pBdr>
        <w:bottom w:val="single" w:sz="4" w:space="4" w:color="2DA2BF"/>
      </w:pBdr>
      <w:spacing w:before="200" w:after="280"/>
      <w:ind w:left="936" w:right="936"/>
    </w:pPr>
    <w:rPr>
      <w:b/>
      <w:i/>
      <w:color w:val="2DA2BF"/>
      <w:sz w:val="20"/>
      <w:szCs w:val="20"/>
    </w:rPr>
  </w:style>
  <w:style w:type="character" w:customStyle="1" w:styleId="IntenseQuoteChar">
    <w:name w:val="Intense Quote Char"/>
    <w:basedOn w:val="DefaultParagraphFont"/>
    <w:link w:val="IntenseQuote"/>
    <w:uiPriority w:val="99"/>
    <w:locked/>
    <w:rsid w:val="0091306E"/>
    <w:rPr>
      <w:rFonts w:cs="Times New Roman"/>
      <w:b/>
      <w:i/>
      <w:color w:val="2DA2BF"/>
    </w:rPr>
  </w:style>
  <w:style w:type="character" w:styleId="IntenseEmphasis">
    <w:name w:val="Intense Emphasis"/>
    <w:basedOn w:val="DefaultParagraphFont"/>
    <w:uiPriority w:val="99"/>
    <w:qFormat/>
    <w:rsid w:val="0091306E"/>
    <w:rPr>
      <w:rFonts w:cs="Times New Roman"/>
      <w:b/>
      <w:i/>
      <w:color w:val="4F81BD"/>
    </w:rPr>
  </w:style>
  <w:style w:type="character" w:styleId="SubtleReference">
    <w:name w:val="Subtle Reference"/>
    <w:basedOn w:val="DefaultParagraphFont"/>
    <w:uiPriority w:val="99"/>
    <w:qFormat/>
    <w:rsid w:val="0091306E"/>
    <w:rPr>
      <w:rFonts w:cs="Times New Roman"/>
      <w:smallCaps/>
      <w:color w:val="C0504D"/>
      <w:u w:val="single"/>
    </w:rPr>
  </w:style>
  <w:style w:type="character" w:styleId="IntenseReference">
    <w:name w:val="Intense Reference"/>
    <w:basedOn w:val="DefaultParagraphFont"/>
    <w:uiPriority w:val="99"/>
    <w:qFormat/>
    <w:rsid w:val="0091306E"/>
    <w:rPr>
      <w:rFonts w:cs="Times New Roman"/>
      <w:b/>
      <w:smallCaps/>
      <w:color w:val="C0504D"/>
      <w:spacing w:val="5"/>
      <w:u w:val="single"/>
    </w:rPr>
  </w:style>
  <w:style w:type="character" w:styleId="BookTitle">
    <w:name w:val="Book Title"/>
    <w:basedOn w:val="DefaultParagraphFont"/>
    <w:uiPriority w:val="99"/>
    <w:qFormat/>
    <w:rsid w:val="0091306E"/>
    <w:rPr>
      <w:rFonts w:cs="Times New Roman"/>
      <w:b/>
      <w:smallCaps/>
      <w:spacing w:val="5"/>
    </w:rPr>
  </w:style>
  <w:style w:type="paragraph" w:styleId="TOCHeading">
    <w:name w:val="TOC Heading"/>
    <w:basedOn w:val="Heading1"/>
    <w:next w:val="Normal"/>
    <w:uiPriority w:val="99"/>
    <w:qFormat/>
    <w:rsid w:val="0091306E"/>
    <w:pPr>
      <w:outlineLvl w:val="9"/>
    </w:pPr>
    <w:rPr>
      <w:color w:val="365F91"/>
    </w:rPr>
  </w:style>
  <w:style w:type="paragraph" w:styleId="DocumentMap">
    <w:name w:val="Document Map"/>
    <w:basedOn w:val="Normal"/>
    <w:link w:val="DocumentMapChar"/>
    <w:uiPriority w:val="99"/>
    <w:semiHidden/>
    <w:locked/>
    <w:rsid w:val="007B2AD5"/>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3528D9"/>
    <w:rPr>
      <w:rFonts w:ascii="Times New Roman" w:hAnsi="Times New Roman" w:cs="Times New Roman"/>
      <w:sz w:val="2"/>
    </w:rPr>
  </w:style>
  <w:style w:type="paragraph" w:styleId="BalloonText">
    <w:name w:val="Balloon Text"/>
    <w:basedOn w:val="Normal"/>
    <w:link w:val="BalloonTextChar"/>
    <w:uiPriority w:val="99"/>
    <w:semiHidden/>
    <w:locked/>
    <w:rsid w:val="00B95565"/>
    <w:rPr>
      <w:rFonts w:ascii="Times New Roman" w:hAnsi="Times New Roman"/>
      <w:sz w:val="2"/>
      <w:szCs w:val="20"/>
    </w:rPr>
  </w:style>
  <w:style w:type="character" w:customStyle="1" w:styleId="BalloonTextChar">
    <w:name w:val="Balloon Text Char"/>
    <w:basedOn w:val="DefaultParagraphFont"/>
    <w:link w:val="BalloonText"/>
    <w:uiPriority w:val="99"/>
    <w:semiHidden/>
    <w:locked/>
    <w:rsid w:val="003C4FA7"/>
    <w:rPr>
      <w:rFonts w:ascii="Times New Roman" w:hAnsi="Times New Roman" w:cs="Times New Roman"/>
      <w:sz w:val="2"/>
    </w:rPr>
  </w:style>
  <w:style w:type="paragraph" w:styleId="Header">
    <w:name w:val="header"/>
    <w:basedOn w:val="Normal"/>
    <w:link w:val="HeaderChar"/>
    <w:uiPriority w:val="99"/>
    <w:locked/>
    <w:rsid w:val="00433183"/>
    <w:pPr>
      <w:tabs>
        <w:tab w:val="center" w:pos="4536"/>
        <w:tab w:val="right" w:pos="9072"/>
      </w:tabs>
    </w:pPr>
  </w:style>
  <w:style w:type="character" w:customStyle="1" w:styleId="HeaderChar">
    <w:name w:val="Header Char"/>
    <w:basedOn w:val="DefaultParagraphFont"/>
    <w:link w:val="Header"/>
    <w:uiPriority w:val="99"/>
    <w:locked/>
    <w:rsid w:val="00433183"/>
    <w:rPr>
      <w:rFonts w:cs="Times New Roman"/>
    </w:rPr>
  </w:style>
  <w:style w:type="paragraph" w:styleId="Footer">
    <w:name w:val="footer"/>
    <w:basedOn w:val="Normal"/>
    <w:link w:val="FooterChar"/>
    <w:uiPriority w:val="99"/>
    <w:locked/>
    <w:rsid w:val="00433183"/>
    <w:pPr>
      <w:tabs>
        <w:tab w:val="center" w:pos="4536"/>
        <w:tab w:val="right" w:pos="9072"/>
      </w:tabs>
    </w:pPr>
  </w:style>
  <w:style w:type="character" w:customStyle="1" w:styleId="FooterChar">
    <w:name w:val="Footer Char"/>
    <w:basedOn w:val="DefaultParagraphFont"/>
    <w:link w:val="Footer"/>
    <w:uiPriority w:val="99"/>
    <w:locked/>
    <w:rsid w:val="00433183"/>
    <w:rPr>
      <w:rFonts w:cs="Times New Roman"/>
    </w:rPr>
  </w:style>
</w:styles>
</file>

<file path=word/webSettings.xml><?xml version="1.0" encoding="utf-8"?>
<w:webSettings xmlns:r="http://schemas.openxmlformats.org/officeDocument/2006/relationships" xmlns:w="http://schemas.openxmlformats.org/wordprocessingml/2006/main">
  <w:divs>
    <w:div w:id="138696269">
      <w:marLeft w:val="0"/>
      <w:marRight w:val="0"/>
      <w:marTop w:val="0"/>
      <w:marBottom w:val="0"/>
      <w:divBdr>
        <w:top w:val="none" w:sz="0" w:space="0" w:color="auto"/>
        <w:left w:val="none" w:sz="0" w:space="0" w:color="auto"/>
        <w:bottom w:val="none" w:sz="0" w:space="0" w:color="auto"/>
        <w:right w:val="none" w:sz="0" w:space="0" w:color="auto"/>
      </w:divBdr>
    </w:div>
    <w:div w:id="138696270">
      <w:marLeft w:val="0"/>
      <w:marRight w:val="0"/>
      <w:marTop w:val="0"/>
      <w:marBottom w:val="0"/>
      <w:divBdr>
        <w:top w:val="none" w:sz="0" w:space="0" w:color="auto"/>
        <w:left w:val="none" w:sz="0" w:space="0" w:color="auto"/>
        <w:bottom w:val="none" w:sz="0" w:space="0" w:color="auto"/>
        <w:right w:val="none" w:sz="0" w:space="0" w:color="auto"/>
      </w:divBdr>
    </w:div>
    <w:div w:id="138696271">
      <w:marLeft w:val="0"/>
      <w:marRight w:val="0"/>
      <w:marTop w:val="0"/>
      <w:marBottom w:val="0"/>
      <w:divBdr>
        <w:top w:val="none" w:sz="0" w:space="0" w:color="auto"/>
        <w:left w:val="none" w:sz="0" w:space="0" w:color="auto"/>
        <w:bottom w:val="none" w:sz="0" w:space="0" w:color="auto"/>
        <w:right w:val="none" w:sz="0" w:space="0" w:color="auto"/>
      </w:divBdr>
    </w:div>
    <w:div w:id="1386962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fla.org/" TargetMode="External"/><Relationship Id="rId13" Type="http://schemas.openxmlformats.org/officeDocument/2006/relationships/hyperlink" Target="http://2016.ifla.org/congress-information/conference-participation-grants" TargetMode="External"/><Relationship Id="rId18" Type="http://schemas.openxmlformats.org/officeDocument/2006/relationships/hyperlink" Target="http://www.nlb.gov.sg/discovereads/" TargetMode="External"/><Relationship Id="rId26" Type="http://schemas.openxmlformats.org/officeDocument/2006/relationships/hyperlink" Target="http://library.ifla.org/1545/1/213-liikanen-en.pdf"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www.ifla.org/FR/node/10823" TargetMode="External"/><Relationship Id="rId7" Type="http://schemas.openxmlformats.org/officeDocument/2006/relationships/image" Target="media/image1.jpeg"/><Relationship Id="rId12" Type="http://schemas.openxmlformats.org/officeDocument/2006/relationships/hyperlink" Target="http://library.ifla.org/1573/" TargetMode="External"/><Relationship Id="rId17" Type="http://schemas.openxmlformats.org/officeDocument/2006/relationships/hyperlink" Target="https://www.youtube.com/watch?v=BhQ6agGKgI4&amp;list=PLNbNYMA4VlILn3XhaPuOkwlIpTY-0zHvq" TargetMode="External"/><Relationship Id="rId25" Type="http://schemas.openxmlformats.org/officeDocument/2006/relationships/hyperlink" Target="http://www.ifla.org/files/assets/libraries-for-children-and-ya/publications/guidelines-for-childrens-libraries-services-fr.pdf" TargetMode="External"/><Relationship Id="rId33" Type="http://schemas.openxmlformats.org/officeDocument/2006/relationships/image" Target="media/image7.jpeg"/><Relationship Id="rId38"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library.ifla.org/1565/1/155-vasseur-fr.pdf" TargetMode="External"/><Relationship Id="rId29" Type="http://schemas.openxmlformats.org/officeDocument/2006/relationships/hyperlink" Target="https://www.facebook.com/pointinkirjasto"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017.ifla.org/" TargetMode="External"/><Relationship Id="rId24" Type="http://schemas.openxmlformats.org/officeDocument/2006/relationships/hyperlink" Target="http://library.ifla.org/1384/" TargetMode="External"/><Relationship Id="rId32" Type="http://schemas.openxmlformats.org/officeDocument/2006/relationships/image" Target="media/image6.jpeg"/><Relationship Id="rId37" Type="http://schemas.openxmlformats.org/officeDocument/2006/relationships/hyperlink" Target="http://www.ifla.or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rieurspublics.blogspot.fr/2013/12/poster-affiche-infographie-comment-faire.html" TargetMode="External"/><Relationship Id="rId23" Type="http://schemas.openxmlformats.org/officeDocument/2006/relationships/hyperlink" Target="http://www.ifla.org/node/1746" TargetMode="External"/><Relationship Id="rId28" Type="http://schemas.openxmlformats.org/officeDocument/2006/relationships/hyperlink" Target="http://2016.ifla.org/programme/poster-sessions" TargetMode="External"/><Relationship Id="rId36" Type="http://schemas.openxmlformats.org/officeDocument/2006/relationships/hyperlink" Target="http://library.ifla.org/" TargetMode="External"/><Relationship Id="rId10" Type="http://schemas.openxmlformats.org/officeDocument/2006/relationships/hyperlink" Target="http://www.ifla.org/activities-and-groups" TargetMode="External"/><Relationship Id="rId19" Type="http://schemas.openxmlformats.org/officeDocument/2006/relationships/hyperlink" Target="http://www.ndl.go.jp/en/cdnlao/newsletter/077/773.html"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ifla.org/node/8750" TargetMode="External"/><Relationship Id="rId14" Type="http://schemas.openxmlformats.org/officeDocument/2006/relationships/hyperlink" Target="http://www.cfibd.fr/" TargetMode="External"/><Relationship Id="rId22" Type="http://schemas.openxmlformats.org/officeDocument/2006/relationships/hyperlink" Target="https://www.youtube.com/watch?v=G3AmVQV9l2M" TargetMode="External"/><Relationship Id="rId27" Type="http://schemas.openxmlformats.org/officeDocument/2006/relationships/image" Target="media/image4.jpeg"/><Relationship Id="rId30" Type="http://schemas.openxmlformats.org/officeDocument/2006/relationships/hyperlink" Target="https://www.youtube.com/channel/UCmGzMfIyfjLQZOwLZdFBEwg" TargetMode="External"/><Relationship Id="rId35" Type="http://schemas.openxmlformats.org/officeDocument/2006/relationships/hyperlink" Target="https://www.flickr.com/photos/if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972</TotalTime>
  <Pages>8</Pages>
  <Words>2605</Words>
  <Characters>14329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CFIB – Congrès IFLA 2016 à Columbus</dc:title>
  <dc:subject/>
  <dc:creator>Pauline Aderhold</dc:creator>
  <cp:keywords/>
  <dc:description/>
  <cp:lastModifiedBy>l.barillot</cp:lastModifiedBy>
  <cp:revision>29</cp:revision>
  <cp:lastPrinted>2016-10-25T09:46:00Z</cp:lastPrinted>
  <dcterms:created xsi:type="dcterms:W3CDTF">2016-09-14T16:31:00Z</dcterms:created>
  <dcterms:modified xsi:type="dcterms:W3CDTF">2016-10-25T09:48:00Z</dcterms:modified>
</cp:coreProperties>
</file>